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6E" w:rsidRPr="0019690E" w:rsidRDefault="00B75F6E" w:rsidP="0019690E">
      <w:pPr>
        <w:rPr>
          <w:rFonts w:ascii="Times New Roman" w:hAnsi="Times New Roman"/>
          <w:noProof/>
          <w:sz w:val="24"/>
          <w:szCs w:val="24"/>
          <w:lang w:val="ru-RU"/>
        </w:rPr>
      </w:pPr>
    </w:p>
    <w:p w:rsidR="0019690E" w:rsidRPr="0019690E" w:rsidRDefault="0019690E" w:rsidP="0019690E">
      <w:pPr>
        <w:rPr>
          <w:rFonts w:ascii="Times New Roman" w:hAnsi="Times New Roman"/>
          <w:noProof/>
          <w:sz w:val="24"/>
          <w:szCs w:val="24"/>
        </w:rPr>
      </w:pPr>
      <w:r w:rsidRPr="0019690E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</w:t>
      </w:r>
      <w:r w:rsidRPr="0019690E">
        <w:rPr>
          <w:rFonts w:ascii="Times New Roman" w:hAnsi="Times New Roman"/>
          <w:sz w:val="24"/>
          <w:szCs w:val="24"/>
        </w:rPr>
        <w:t xml:space="preserve">ПРОЕКТ РЕГУЛЯТОРНОГО АКТУ                                                                                                                            </w:t>
      </w:r>
    </w:p>
    <w:p w:rsidR="0019690E" w:rsidRPr="0019690E" w:rsidRDefault="0019690E" w:rsidP="0019690E">
      <w:pPr>
        <w:jc w:val="center"/>
        <w:rPr>
          <w:rFonts w:ascii="Times New Roman" w:hAnsi="Times New Roman"/>
          <w:noProof/>
          <w:color w:val="FFFFFF"/>
          <w:sz w:val="24"/>
          <w:szCs w:val="24"/>
        </w:rPr>
      </w:pPr>
      <w:r w:rsidRPr="0019690E">
        <w:rPr>
          <w:rFonts w:ascii="Times New Roman" w:hAnsi="Times New Roman"/>
          <w:noProof/>
          <w:color w:val="FFFFFF"/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0.5pt" o:ole="" fillcolor="window">
            <v:imagedata r:id="rId6" o:title="" gain="74473f" blacklevel="3932f"/>
          </v:shape>
          <o:OLEObject Type="Embed" ProgID="PBrush" ShapeID="_x0000_i1025" DrawAspect="Content" ObjectID="_1606899375" r:id="rId7"/>
        </w:object>
      </w:r>
    </w:p>
    <w:p w:rsidR="0019690E" w:rsidRPr="0019690E" w:rsidRDefault="0019690E" w:rsidP="0019690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9690E" w:rsidRPr="0019690E" w:rsidRDefault="0019690E" w:rsidP="001969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90E">
        <w:rPr>
          <w:rFonts w:ascii="Times New Roman" w:hAnsi="Times New Roman"/>
          <w:b/>
          <w:bCs/>
          <w:sz w:val="24"/>
          <w:szCs w:val="24"/>
        </w:rPr>
        <w:t>УКРАЇНА</w:t>
      </w:r>
    </w:p>
    <w:p w:rsidR="0019690E" w:rsidRPr="0019690E" w:rsidRDefault="0019690E" w:rsidP="001969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90E">
        <w:rPr>
          <w:rFonts w:ascii="Times New Roman" w:hAnsi="Times New Roman"/>
          <w:b/>
          <w:bCs/>
          <w:sz w:val="24"/>
          <w:szCs w:val="24"/>
        </w:rPr>
        <w:t>ДРУЖКІВСЬКА МІСЬКА РАДА</w:t>
      </w:r>
    </w:p>
    <w:p w:rsidR="0019690E" w:rsidRPr="0019690E" w:rsidRDefault="0019690E" w:rsidP="001969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90E"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Від ____________________№_______________</w:t>
      </w: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90E">
        <w:rPr>
          <w:rFonts w:ascii="Times New Roman" w:hAnsi="Times New Roman"/>
          <w:sz w:val="24"/>
          <w:szCs w:val="24"/>
        </w:rPr>
        <w:t>м.Дружківка</w:t>
      </w:r>
      <w:proofErr w:type="spellEnd"/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 xml:space="preserve"> Про встановлення ставок та пільг</w:t>
      </w:r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 xml:space="preserve"> із сплати податку на нерухоме майно,</w:t>
      </w:r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 xml:space="preserve"> відмінне від земельної ділянки,</w:t>
      </w:r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 xml:space="preserve"> на території Дружківської міської ради</w:t>
      </w:r>
    </w:p>
    <w:p w:rsidR="0019690E" w:rsidRPr="0019690E" w:rsidRDefault="0019690E" w:rsidP="0019690E">
      <w:pPr>
        <w:ind w:right="21"/>
        <w:jc w:val="both"/>
        <w:rPr>
          <w:rFonts w:ascii="Times New Roman" w:hAnsi="Times New Roman"/>
          <w:sz w:val="24"/>
          <w:szCs w:val="24"/>
        </w:rPr>
      </w:pPr>
    </w:p>
    <w:p w:rsidR="0019690E" w:rsidRPr="0019690E" w:rsidRDefault="0019690E" w:rsidP="0019690E">
      <w:pPr>
        <w:ind w:right="21"/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 xml:space="preserve">      Відповідно до </w:t>
      </w:r>
      <w:r w:rsidRPr="0019690E">
        <w:rPr>
          <w:rFonts w:ascii="Times New Roman" w:hAnsi="Times New Roman"/>
          <w:noProof/>
          <w:sz w:val="24"/>
          <w:szCs w:val="24"/>
        </w:rPr>
        <w:t>ст.10, 266 Податкового кодексу України від 02.12.2010 №2755-</w:t>
      </w:r>
      <w:r w:rsidRPr="0019690E">
        <w:rPr>
          <w:rFonts w:ascii="Times New Roman" w:hAnsi="Times New Roman"/>
          <w:noProof/>
          <w:sz w:val="24"/>
          <w:szCs w:val="24"/>
          <w:lang w:val="en-US"/>
        </w:rPr>
        <w:t>VI</w:t>
      </w:r>
      <w:r w:rsidRPr="0019690E">
        <w:rPr>
          <w:rFonts w:ascii="Times New Roman" w:hAnsi="Times New Roman"/>
          <w:sz w:val="24"/>
          <w:szCs w:val="24"/>
        </w:rPr>
        <w:t>, ст.64 Бюджетного кодексу України від 08.07.2010 №2456-</w:t>
      </w:r>
      <w:r w:rsidRPr="0019690E">
        <w:rPr>
          <w:rFonts w:ascii="Times New Roman" w:hAnsi="Times New Roman"/>
          <w:sz w:val="24"/>
          <w:szCs w:val="24"/>
          <w:lang w:val="en-US"/>
        </w:rPr>
        <w:t>VI</w:t>
      </w:r>
      <w:r w:rsidRPr="0019690E">
        <w:rPr>
          <w:rFonts w:ascii="Times New Roman" w:hAnsi="Times New Roman"/>
          <w:sz w:val="24"/>
          <w:szCs w:val="24"/>
        </w:rPr>
        <w:t>, Закону України від 11.09.2003</w:t>
      </w:r>
      <w:r w:rsidRPr="0019690E">
        <w:rPr>
          <w:rFonts w:ascii="Times New Roman" w:hAnsi="Times New Roman"/>
          <w:sz w:val="24"/>
          <w:szCs w:val="24"/>
        </w:rPr>
        <w:br/>
        <w:t xml:space="preserve"> №1160– IV «Про засади державної регуляторної політики у сфері господарської діяльності», керуючись </w:t>
      </w:r>
      <w:r w:rsidRPr="0019690E">
        <w:rPr>
          <w:rFonts w:ascii="Times New Roman" w:hAnsi="Times New Roman"/>
          <w:noProof/>
          <w:sz w:val="24"/>
          <w:szCs w:val="24"/>
        </w:rPr>
        <w:t xml:space="preserve">п.24 ч.1 ст.26 Закону України від 21.05.1997 №280/97-ВР «Про місцеве самоврядування в Україні», </w:t>
      </w:r>
      <w:r w:rsidRPr="0019690E">
        <w:rPr>
          <w:rFonts w:ascii="Times New Roman" w:hAnsi="Times New Roman"/>
          <w:sz w:val="24"/>
          <w:szCs w:val="24"/>
        </w:rPr>
        <w:t xml:space="preserve"> міська рада</w:t>
      </w:r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</w:p>
    <w:p w:rsidR="0019690E" w:rsidRPr="0019690E" w:rsidRDefault="0019690E" w:rsidP="0019690E">
      <w:pPr>
        <w:rPr>
          <w:rFonts w:ascii="Times New Roman" w:hAnsi="Times New Roman"/>
          <w:b/>
          <w:sz w:val="24"/>
          <w:szCs w:val="24"/>
        </w:rPr>
      </w:pPr>
      <w:r w:rsidRPr="0019690E">
        <w:rPr>
          <w:rFonts w:ascii="Times New Roman" w:hAnsi="Times New Roman"/>
          <w:b/>
          <w:sz w:val="24"/>
          <w:szCs w:val="24"/>
        </w:rPr>
        <w:t xml:space="preserve">           ВИРІШИЛА:</w:t>
      </w: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1. Встановити податок на нерухоме майно, відмінне від земельної ділянки, на території Дружківської міської ради.</w:t>
      </w: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2. Визначити платників податку, об’єкт, базу оподаткування, порядок обчислення та податковий період, строки і порядок подання звітності, строки і порядок сплати до бюджету податку на нерухоме майно, згідно ст.266 Податкового кодексу України.</w:t>
      </w:r>
    </w:p>
    <w:p w:rsidR="0019690E" w:rsidRPr="0019690E" w:rsidRDefault="0019690E" w:rsidP="0019690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>3.Установити на території Дружківської міської ради:</w:t>
      </w:r>
    </w:p>
    <w:p w:rsidR="0019690E" w:rsidRPr="0019690E" w:rsidRDefault="0019690E" w:rsidP="0019690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 xml:space="preserve"> 1) ставки податку на нерухоме майно, відмінне від земельної ділянки, згідно з додатком 1;</w:t>
      </w:r>
    </w:p>
    <w:p w:rsidR="0019690E" w:rsidRPr="0019690E" w:rsidRDefault="0019690E" w:rsidP="0019690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19690E">
        <w:rPr>
          <w:rFonts w:ascii="Times New Roman" w:hAnsi="Times New Roman"/>
          <w:noProof/>
          <w:sz w:val="24"/>
          <w:szCs w:val="24"/>
        </w:rPr>
        <w:t xml:space="preserve"> 2) пільги для фізичних та юридичних осіб за переліком згідно з додатком 2.</w:t>
      </w:r>
    </w:p>
    <w:p w:rsidR="0019690E" w:rsidRPr="0019690E" w:rsidRDefault="0019690E" w:rsidP="0019690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</w:rPr>
        <w:t>4</w:t>
      </w:r>
      <w:r w:rsidRPr="0019690E">
        <w:rPr>
          <w:rFonts w:ascii="Times New Roman" w:hAnsi="Times New Roman"/>
          <w:noProof/>
          <w:sz w:val="24"/>
          <w:szCs w:val="24"/>
          <w:lang w:val="ru-RU"/>
        </w:rPr>
        <w:t>. Оприлюднити рішення у газеті «Дружківський робітник».</w:t>
      </w:r>
    </w:p>
    <w:p w:rsidR="0019690E" w:rsidRPr="0019690E" w:rsidRDefault="0019690E" w:rsidP="0019690E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Pr="0019690E">
        <w:rPr>
          <w:rFonts w:ascii="Times New Roman" w:hAnsi="Times New Roman"/>
          <w:sz w:val="24"/>
          <w:szCs w:val="24"/>
        </w:rPr>
        <w:t xml:space="preserve">Прийняте рішення набуває чинності з 01 січня 2020 року.  </w:t>
      </w:r>
    </w:p>
    <w:p w:rsidR="0019690E" w:rsidRPr="0019690E" w:rsidRDefault="0019690E" w:rsidP="0019690E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 xml:space="preserve">6. Дія рішення міської ради від 08.07.2015 №6/57-1 «Про затвердження Положення про механізм справляння та порядок сплати податку на нерухоме майно, відмінне від земельної ділянки на території </w:t>
      </w:r>
      <w:proofErr w:type="spellStart"/>
      <w:r w:rsidRPr="0019690E">
        <w:rPr>
          <w:rFonts w:ascii="Times New Roman" w:hAnsi="Times New Roman"/>
          <w:sz w:val="24"/>
          <w:szCs w:val="24"/>
        </w:rPr>
        <w:t>м.Дружківка</w:t>
      </w:r>
      <w:proofErr w:type="spellEnd"/>
      <w:r w:rsidRPr="0019690E">
        <w:rPr>
          <w:rFonts w:ascii="Times New Roman" w:hAnsi="Times New Roman"/>
          <w:sz w:val="24"/>
          <w:szCs w:val="24"/>
        </w:rPr>
        <w:t>» (зі змінами) з 01 січня 2020 року не поширюється на юридичних осіб.</w:t>
      </w: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7. Координацію роботи щодо виконання цього рішення покласти на заступника міського голови з питань діяльності виконавчих органів ради Полякова О.О.</w:t>
      </w: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8. Контроль за виконанням даного рішення покласти на  постійну комісію з питань планування, бюджету та фінансів (</w:t>
      </w:r>
      <w:proofErr w:type="spellStart"/>
      <w:r w:rsidRPr="0019690E">
        <w:rPr>
          <w:rFonts w:ascii="Times New Roman" w:hAnsi="Times New Roman"/>
          <w:sz w:val="24"/>
          <w:szCs w:val="24"/>
        </w:rPr>
        <w:t>Підопригора</w:t>
      </w:r>
      <w:proofErr w:type="spellEnd"/>
      <w:r w:rsidRPr="0019690E">
        <w:rPr>
          <w:rFonts w:ascii="Times New Roman" w:hAnsi="Times New Roman"/>
          <w:sz w:val="24"/>
          <w:szCs w:val="24"/>
        </w:rPr>
        <w:t xml:space="preserve">) та постійну комісію з економічної, інвестиційної політики та підприємництва ( Руденко).                                                                        </w:t>
      </w:r>
    </w:p>
    <w:p w:rsidR="0019690E" w:rsidRPr="0019690E" w:rsidRDefault="0019690E" w:rsidP="0019690E">
      <w:pPr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 xml:space="preserve">     </w:t>
      </w:r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В.С.ГНАТЕНКО</w:t>
      </w:r>
    </w:p>
    <w:p w:rsidR="0019690E" w:rsidRPr="0019690E" w:rsidRDefault="0019690E" w:rsidP="0019690E">
      <w:pPr>
        <w:rPr>
          <w:rFonts w:ascii="Times New Roman" w:hAnsi="Times New Roman"/>
          <w:sz w:val="24"/>
          <w:szCs w:val="24"/>
        </w:rPr>
      </w:pPr>
    </w:p>
    <w:p w:rsidR="0019690E" w:rsidRDefault="0019690E" w:rsidP="0019690E">
      <w:pPr>
        <w:rPr>
          <w:rFonts w:ascii="Times New Roman" w:hAnsi="Times New Roman"/>
          <w:sz w:val="24"/>
          <w:szCs w:val="24"/>
        </w:rPr>
      </w:pPr>
    </w:p>
    <w:p w:rsidR="0019690E" w:rsidRDefault="0019690E" w:rsidP="0019690E">
      <w:pPr>
        <w:rPr>
          <w:rFonts w:ascii="Times New Roman" w:hAnsi="Times New Roman"/>
          <w:sz w:val="24"/>
          <w:szCs w:val="24"/>
        </w:rPr>
      </w:pPr>
    </w:p>
    <w:p w:rsidR="0019690E" w:rsidRDefault="0019690E" w:rsidP="0019690E">
      <w:pPr>
        <w:rPr>
          <w:rFonts w:ascii="Times New Roman" w:hAnsi="Times New Roman"/>
          <w:sz w:val="24"/>
          <w:szCs w:val="24"/>
        </w:rPr>
      </w:pPr>
    </w:p>
    <w:p w:rsidR="0019690E" w:rsidRDefault="0019690E" w:rsidP="0019690E">
      <w:pPr>
        <w:rPr>
          <w:rFonts w:ascii="Times New Roman" w:hAnsi="Times New Roman"/>
          <w:sz w:val="24"/>
          <w:szCs w:val="24"/>
        </w:rPr>
        <w:sectPr w:rsidR="0019690E" w:rsidSect="001969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9690E" w:rsidRDefault="0019690E" w:rsidP="0019690E">
      <w:pPr>
        <w:rPr>
          <w:rFonts w:ascii="Times New Roman" w:hAnsi="Times New Roman"/>
          <w:sz w:val="24"/>
          <w:szCs w:val="24"/>
        </w:rPr>
      </w:pPr>
    </w:p>
    <w:p w:rsidR="000931C2" w:rsidRPr="0019690E" w:rsidRDefault="0019690E" w:rsidP="0019690E">
      <w:pPr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9690E">
        <w:rPr>
          <w:rFonts w:ascii="Times New Roman" w:hAnsi="Times New Roman"/>
          <w:sz w:val="24"/>
          <w:szCs w:val="24"/>
        </w:rPr>
        <w:t>Д</w:t>
      </w:r>
      <w:r w:rsidR="000931C2" w:rsidRPr="0019690E">
        <w:rPr>
          <w:rFonts w:ascii="Times New Roman" w:hAnsi="Times New Roman"/>
          <w:noProof/>
          <w:sz w:val="24"/>
          <w:szCs w:val="24"/>
          <w:lang w:val="ru-RU"/>
        </w:rPr>
        <w:t xml:space="preserve">одаток 1       </w:t>
      </w:r>
    </w:p>
    <w:p w:rsidR="000931C2" w:rsidRPr="0019690E" w:rsidRDefault="000931C2" w:rsidP="000931C2">
      <w:pPr>
        <w:ind w:firstLine="5535"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19690E">
        <w:rPr>
          <w:rFonts w:ascii="Times New Roman" w:hAnsi="Times New Roman"/>
          <w:noProof/>
          <w:sz w:val="24"/>
          <w:szCs w:val="24"/>
          <w:lang w:val="ru-RU"/>
        </w:rPr>
        <w:tab/>
        <w:t xml:space="preserve">                                                                                 ЗАТВЕРДЖЕНО                                                                                            </w:t>
      </w:r>
    </w:p>
    <w:p w:rsidR="000931C2" w:rsidRPr="0019690E" w:rsidRDefault="000931C2" w:rsidP="000931C2">
      <w:pPr>
        <w:ind w:firstLine="5535"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рішення міської ради</w:t>
      </w:r>
    </w:p>
    <w:p w:rsidR="005F58E6" w:rsidRPr="0019690E" w:rsidRDefault="005F58E6" w:rsidP="000931C2">
      <w:pPr>
        <w:ind w:firstLine="5535"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_____________ № _______ </w:t>
      </w:r>
    </w:p>
    <w:p w:rsidR="00565BCB" w:rsidRPr="0019690E" w:rsidRDefault="00565BCB" w:rsidP="00565BCB">
      <w:pPr>
        <w:pStyle w:val="a4"/>
        <w:spacing w:before="120"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Pr="0019690E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br/>
      </w:r>
      <w:r w:rsidRPr="0019690E">
        <w:rPr>
          <w:rFonts w:ascii="Times New Roman" w:hAnsi="Times New Roman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</w:p>
    <w:p w:rsidR="005F58E6" w:rsidRPr="0019690E" w:rsidRDefault="005F58E6" w:rsidP="005F58E6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Ставки вводяться в дію з _01_ _січня___ 2020_ року на території Дружківської міської ради.</w:t>
      </w:r>
    </w:p>
    <w:p w:rsidR="00565BCB" w:rsidRPr="0019690E" w:rsidRDefault="00565BCB" w:rsidP="00565BCB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1038"/>
        <w:gridCol w:w="7640"/>
        <w:gridCol w:w="1025"/>
        <w:gridCol w:w="1010"/>
        <w:gridCol w:w="1052"/>
        <w:gridCol w:w="1078"/>
        <w:gridCol w:w="945"/>
        <w:gridCol w:w="984"/>
      </w:tblGrid>
      <w:tr w:rsidR="00565BCB" w:rsidRPr="0019690E" w:rsidTr="008B6157">
        <w:trPr>
          <w:trHeight w:val="20"/>
          <w:tblHeader/>
        </w:trPr>
        <w:tc>
          <w:tcPr>
            <w:tcW w:w="29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565BCB" w:rsidP="00B0512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Класифікація будівель та споруд</w:t>
            </w:r>
            <w:r w:rsidR="00B05126" w:rsidRPr="0019690E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5BCB" w:rsidRPr="0019690E" w:rsidRDefault="00565BCB" w:rsidP="00B0512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 за 1 кв. метр</w:t>
            </w: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565BCB" w:rsidRPr="0019690E" w:rsidTr="008B6157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B05126" w:rsidP="00B0512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</w:t>
            </w:r>
            <w:r w:rsidR="00565BCB"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</w:t>
            </w:r>
            <w:r w:rsidRPr="0019690E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B05126" w:rsidP="00B0512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</w:t>
            </w:r>
            <w:r w:rsidR="00565BCB"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айменування</w:t>
            </w:r>
            <w:r w:rsidRPr="0019690E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565BCB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5BCB" w:rsidRPr="0019690E" w:rsidRDefault="00565BCB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565BCB" w:rsidRPr="0019690E" w:rsidTr="008B6157">
        <w:trPr>
          <w:trHeight w:val="20"/>
          <w:tblHeader/>
        </w:trPr>
        <w:tc>
          <w:tcPr>
            <w:tcW w:w="35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BCB" w:rsidRPr="0019690E" w:rsidRDefault="00565BCB" w:rsidP="008B615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CB" w:rsidRPr="0019690E" w:rsidRDefault="00565BCB" w:rsidP="008B6157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565BCB" w:rsidP="00B0512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 зона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565BCB" w:rsidP="00B0512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 зона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565BCB" w:rsidP="00230DA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 зона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565BCB" w:rsidP="00230DA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 зона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BCB" w:rsidRPr="0019690E" w:rsidRDefault="00565BCB" w:rsidP="00230DA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 зона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5BCB" w:rsidRPr="0019690E" w:rsidRDefault="00565BCB" w:rsidP="00230DA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 зона</w:t>
            </w:r>
          </w:p>
        </w:tc>
      </w:tr>
      <w:tr w:rsidR="00A07304" w:rsidRPr="0019690E" w:rsidTr="008B6157">
        <w:trPr>
          <w:trHeight w:val="20"/>
          <w:tblHeader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2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1,000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07499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8B6157">
        <w:trPr>
          <w:trHeight w:val="20"/>
          <w:tblHeader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2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A0730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A0730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435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1211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A0730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1220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Будівлі офісні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A0730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1230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Будівлі торгівельні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1241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1242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Гаражі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3047BD">
        <w:trPr>
          <w:trHeight w:val="459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1251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74286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1252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1261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1262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1263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1264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1265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2861A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Зали спортивні</w:t>
            </w: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1271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A342F1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1272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253FAB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1273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230DA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A07304" w:rsidRPr="0019690E" w:rsidTr="00A20C9F">
        <w:trPr>
          <w:trHeight w:val="20"/>
          <w:tblHeader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4" w:rsidRPr="0019690E" w:rsidRDefault="00A07304" w:rsidP="008B6157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1274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230DAB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0,400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4" w:rsidRPr="0019690E" w:rsidRDefault="00A07304" w:rsidP="00436CDA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04" w:rsidRPr="0019690E" w:rsidRDefault="00A07304" w:rsidP="008B61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90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E37DEF" w:rsidRPr="0019690E" w:rsidRDefault="00230DAB" w:rsidP="00E37DEF">
      <w:pPr>
        <w:pStyle w:val="a3"/>
        <w:spacing w:before="60"/>
        <w:jc w:val="both"/>
        <w:rPr>
          <w:rFonts w:ascii="Times New Roman" w:hAnsi="Times New Roman"/>
          <w:noProof/>
          <w:sz w:val="24"/>
          <w:szCs w:val="24"/>
        </w:rPr>
      </w:pPr>
      <w:r w:rsidRPr="0019690E">
        <w:rPr>
          <w:rFonts w:ascii="Times New Roman" w:hAnsi="Times New Roman"/>
          <w:noProof/>
          <w:sz w:val="24"/>
          <w:szCs w:val="24"/>
          <w:vertAlign w:val="superscript"/>
        </w:rPr>
        <w:t>1</w:t>
      </w:r>
      <w:r w:rsidR="00E37DEF" w:rsidRPr="0019690E">
        <w:rPr>
          <w:rFonts w:ascii="Times New Roman" w:hAnsi="Times New Roman"/>
          <w:noProof/>
          <w:sz w:val="24"/>
          <w:szCs w:val="24"/>
        </w:rPr>
        <w:t xml:space="preserve"> Класифікація будівель та споруд, код та найменування зазнач</w:t>
      </w:r>
      <w:r w:rsidR="005F58E6" w:rsidRPr="0019690E">
        <w:rPr>
          <w:rFonts w:ascii="Times New Roman" w:hAnsi="Times New Roman"/>
          <w:noProof/>
          <w:sz w:val="24"/>
          <w:szCs w:val="24"/>
        </w:rPr>
        <w:t>ені</w:t>
      </w:r>
      <w:r w:rsidR="00E37DEF" w:rsidRPr="0019690E">
        <w:rPr>
          <w:rFonts w:ascii="Times New Roman" w:hAnsi="Times New Roman"/>
          <w:noProof/>
          <w:sz w:val="24"/>
          <w:szCs w:val="24"/>
        </w:rPr>
        <w:t xml:space="preserve">я відповідно до </w:t>
      </w:r>
      <w:r w:rsidRPr="0019690E">
        <w:rPr>
          <w:rFonts w:ascii="Times New Roman" w:hAnsi="Times New Roman"/>
          <w:noProof/>
          <w:sz w:val="24"/>
          <w:szCs w:val="24"/>
        </w:rPr>
        <w:t xml:space="preserve">Постанови Кабінету Міністрів України від 24 травня 2017 р. №483, та  </w:t>
      </w:r>
      <w:r w:rsidR="00E37DEF" w:rsidRPr="0019690E">
        <w:rPr>
          <w:rFonts w:ascii="Times New Roman" w:hAnsi="Times New Roman"/>
          <w:noProof/>
          <w:sz w:val="24"/>
          <w:szCs w:val="24"/>
        </w:rPr>
        <w:t>Державного класифікатора будівель та споруд ДК 018-2000, затвердженого наказом Держстандарту від 17 серпня 2000 р. № 507.</w:t>
      </w:r>
    </w:p>
    <w:p w:rsidR="00E37DEF" w:rsidRPr="0019690E" w:rsidRDefault="00E37DEF" w:rsidP="00B05126">
      <w:pPr>
        <w:pStyle w:val="a3"/>
        <w:spacing w:before="60"/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noProof/>
          <w:sz w:val="24"/>
          <w:szCs w:val="24"/>
        </w:rPr>
        <w:t>Об’єкти нерухомості, що класифікуються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</w:t>
      </w:r>
      <w:r w:rsidR="00B05126" w:rsidRPr="0019690E">
        <w:rPr>
          <w:rFonts w:ascii="Times New Roman" w:hAnsi="Times New Roman"/>
          <w:noProof/>
          <w:sz w:val="24"/>
          <w:szCs w:val="24"/>
        </w:rPr>
        <w:t xml:space="preserve"> та норм </w:t>
      </w:r>
      <w:r w:rsidR="005F58E6" w:rsidRPr="0019690E">
        <w:rPr>
          <w:rFonts w:ascii="Times New Roman" w:hAnsi="Times New Roman"/>
          <w:noProof/>
          <w:sz w:val="24"/>
          <w:szCs w:val="24"/>
        </w:rPr>
        <w:t xml:space="preserve">цього </w:t>
      </w:r>
      <w:r w:rsidR="00B05126" w:rsidRPr="0019690E">
        <w:rPr>
          <w:rFonts w:ascii="Times New Roman" w:hAnsi="Times New Roman"/>
          <w:noProof/>
          <w:sz w:val="24"/>
          <w:szCs w:val="24"/>
        </w:rPr>
        <w:t>рішення Дружківської міської ради</w:t>
      </w:r>
      <w:r w:rsidR="005F58E6" w:rsidRPr="0019690E">
        <w:rPr>
          <w:rFonts w:ascii="Times New Roman" w:hAnsi="Times New Roman"/>
          <w:noProof/>
          <w:sz w:val="24"/>
          <w:szCs w:val="24"/>
        </w:rPr>
        <w:t>.</w:t>
      </w:r>
      <w:r w:rsidR="00B05126" w:rsidRPr="0019690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37DEF" w:rsidRPr="0019690E" w:rsidRDefault="00E37DEF">
      <w:pPr>
        <w:rPr>
          <w:rFonts w:ascii="Times New Roman" w:hAnsi="Times New Roman"/>
          <w:sz w:val="24"/>
          <w:szCs w:val="24"/>
        </w:rPr>
      </w:pPr>
    </w:p>
    <w:p w:rsidR="00A07304" w:rsidRPr="0019690E" w:rsidRDefault="00A07304">
      <w:pPr>
        <w:rPr>
          <w:rFonts w:ascii="Times New Roman" w:hAnsi="Times New Roman"/>
          <w:sz w:val="24"/>
          <w:szCs w:val="24"/>
        </w:rPr>
      </w:pPr>
    </w:p>
    <w:p w:rsidR="00A07304" w:rsidRPr="0019690E" w:rsidRDefault="00A07304">
      <w:pPr>
        <w:rPr>
          <w:rFonts w:ascii="Times New Roman" w:hAnsi="Times New Roman"/>
          <w:sz w:val="24"/>
          <w:szCs w:val="24"/>
        </w:rPr>
      </w:pPr>
    </w:p>
    <w:p w:rsidR="005F58E6" w:rsidRPr="0019690E" w:rsidRDefault="005F58E6">
      <w:pPr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 xml:space="preserve">Секретар </w:t>
      </w:r>
      <w:r w:rsidR="00A07304" w:rsidRPr="0019690E">
        <w:rPr>
          <w:rFonts w:ascii="Times New Roman" w:hAnsi="Times New Roman"/>
          <w:sz w:val="24"/>
          <w:szCs w:val="24"/>
        </w:rPr>
        <w:t>міської ради                                                                               І.О. БУЧУК</w:t>
      </w: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19690E" w:rsidRDefault="0019690E">
      <w:pPr>
        <w:rPr>
          <w:rFonts w:ascii="Times New Roman" w:hAnsi="Times New Roman"/>
          <w:sz w:val="24"/>
          <w:szCs w:val="24"/>
        </w:rPr>
        <w:sectPr w:rsidR="0019690E" w:rsidSect="001969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75F6E" w:rsidRPr="0019690E" w:rsidRDefault="00B75F6E">
      <w:pPr>
        <w:rPr>
          <w:rFonts w:ascii="Times New Roman" w:hAnsi="Times New Roman"/>
          <w:sz w:val="24"/>
          <w:szCs w:val="24"/>
        </w:rPr>
      </w:pPr>
    </w:p>
    <w:p w:rsidR="00B75F6E" w:rsidRPr="0019690E" w:rsidRDefault="0019690E" w:rsidP="0019690E">
      <w:pPr>
        <w:ind w:left="7513"/>
        <w:contextualSpacing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</w:t>
      </w:r>
      <w:r w:rsidR="00B75F6E" w:rsidRPr="0019690E">
        <w:rPr>
          <w:rFonts w:ascii="Times New Roman" w:hAnsi="Times New Roman"/>
          <w:noProof/>
          <w:sz w:val="24"/>
          <w:szCs w:val="24"/>
          <w:lang w:val="ru-RU"/>
        </w:rPr>
        <w:t xml:space="preserve">одаток 2      </w:t>
      </w:r>
    </w:p>
    <w:p w:rsidR="00B75F6E" w:rsidRPr="0019690E" w:rsidRDefault="00B75F6E" w:rsidP="00B75F6E">
      <w:pPr>
        <w:ind w:left="7513" w:hanging="1978"/>
        <w:contextualSpacing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ab/>
        <w:t xml:space="preserve">ЗАТВЕРДЖЕНО                                                                                            </w:t>
      </w:r>
    </w:p>
    <w:p w:rsidR="00B75F6E" w:rsidRPr="0019690E" w:rsidRDefault="00B75F6E" w:rsidP="00B75F6E">
      <w:pPr>
        <w:ind w:left="7513" w:hanging="1978"/>
        <w:contextualSpacing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рішення міської ради</w:t>
      </w:r>
    </w:p>
    <w:p w:rsidR="00B75F6E" w:rsidRPr="0019690E" w:rsidRDefault="00B75F6E" w:rsidP="00B75F6E">
      <w:pPr>
        <w:ind w:left="7513" w:hanging="1978"/>
        <w:contextualSpacing/>
        <w:rPr>
          <w:rFonts w:ascii="Times New Roman" w:hAnsi="Times New Roman"/>
          <w:noProof/>
          <w:sz w:val="24"/>
          <w:szCs w:val="24"/>
          <w:lang w:val="ru-RU"/>
        </w:rPr>
      </w:pPr>
      <w:r w:rsidRPr="0019690E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</w:t>
      </w:r>
      <w:r w:rsidR="0019690E">
        <w:rPr>
          <w:rFonts w:ascii="Times New Roman" w:hAnsi="Times New Roman"/>
          <w:noProof/>
          <w:sz w:val="24"/>
          <w:szCs w:val="24"/>
          <w:lang w:val="ru-RU"/>
        </w:rPr>
        <w:t xml:space="preserve">          ___________№_________</w:t>
      </w:r>
    </w:p>
    <w:p w:rsidR="00B75F6E" w:rsidRPr="0019690E" w:rsidRDefault="00B75F6E" w:rsidP="00B75F6E">
      <w:pPr>
        <w:pStyle w:val="a4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ПЕРЕЛІК</w:t>
      </w:r>
      <w:r w:rsidRPr="0019690E">
        <w:rPr>
          <w:rFonts w:ascii="Times New Roman" w:hAnsi="Times New Roman"/>
          <w:sz w:val="24"/>
          <w:szCs w:val="24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B75F6E" w:rsidRPr="0019690E" w:rsidRDefault="00B75F6E" w:rsidP="00B75F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Пільги вводяться в дію з 01_ _січня_ 2020_ року на території Дружківської міської ради.</w:t>
      </w:r>
    </w:p>
    <w:p w:rsidR="00B75F6E" w:rsidRPr="0019690E" w:rsidRDefault="00B75F6E" w:rsidP="0019690E">
      <w:pPr>
        <w:pStyle w:val="a3"/>
        <w:ind w:right="-568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8"/>
        <w:gridCol w:w="2982"/>
      </w:tblGrid>
      <w:tr w:rsidR="00B75F6E" w:rsidRPr="0019690E" w:rsidTr="00D1203B">
        <w:tc>
          <w:tcPr>
            <w:tcW w:w="3569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19690E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19690E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B75F6E" w:rsidRPr="0019690E" w:rsidTr="00D1203B">
        <w:tc>
          <w:tcPr>
            <w:tcW w:w="3569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11. Будівлі житлові: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6E" w:rsidRPr="0019690E" w:rsidTr="00D1203B">
        <w:tc>
          <w:tcPr>
            <w:tcW w:w="3569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У власності фізичних осіб, які мають статус чорнобильців - ліквідаторів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 xml:space="preserve">60% від ставки 0,5% </w:t>
            </w:r>
          </w:p>
        </w:tc>
      </w:tr>
      <w:tr w:rsidR="00B75F6E" w:rsidRPr="0019690E" w:rsidTr="00D1203B">
        <w:tc>
          <w:tcPr>
            <w:tcW w:w="3569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У власності фізичних осіб, які мають статус інвалідів Великої вітчизняної війни, вдів (вдівців) померлих інвалідів Великої вітчизняної війни, інвалідів 1-ої  та 2-ої груп, учасників бойових дій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 xml:space="preserve">98% від ставки 0,5% </w:t>
            </w:r>
          </w:p>
        </w:tc>
      </w:tr>
      <w:tr w:rsidR="00B75F6E" w:rsidRPr="0019690E" w:rsidTr="00D1203B">
        <w:tc>
          <w:tcPr>
            <w:tcW w:w="3569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У власності релігійних, благодійних організацій та громадських об’єднань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75F6E" w:rsidRPr="0019690E" w:rsidTr="00D1203B">
        <w:tc>
          <w:tcPr>
            <w:tcW w:w="3569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12. Будівлі нежитлові: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6E" w:rsidRPr="0019690E" w:rsidTr="00D1203B">
        <w:trPr>
          <w:trHeight w:val="1832"/>
        </w:trPr>
        <w:tc>
          <w:tcPr>
            <w:tcW w:w="3569" w:type="pct"/>
            <w:vAlign w:val="center"/>
          </w:tcPr>
          <w:p w:rsidR="00B75F6E" w:rsidRPr="0019690E" w:rsidRDefault="00B75F6E" w:rsidP="00D1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 xml:space="preserve">у власності фізичних осіб: окремо розташовані господарські (присадибні) будівлі, а саме: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тощо) та індивідуальні гаражі фізичних осіб (крім використання у підприємницькій діяльності). 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75F6E" w:rsidRPr="0019690E" w:rsidTr="00D1203B">
        <w:trPr>
          <w:trHeight w:val="1477"/>
        </w:trPr>
        <w:tc>
          <w:tcPr>
            <w:tcW w:w="3569" w:type="pct"/>
            <w:vAlign w:val="center"/>
          </w:tcPr>
          <w:p w:rsidR="00B75F6E" w:rsidRPr="0019690E" w:rsidRDefault="00B75F6E" w:rsidP="00D1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у власності релігійних, благодійних організацій та громадських об’єднань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6E" w:rsidRPr="0019690E" w:rsidTr="00D1203B">
        <w:trPr>
          <w:trHeight w:val="707"/>
        </w:trPr>
        <w:tc>
          <w:tcPr>
            <w:tcW w:w="3569" w:type="pct"/>
            <w:vAlign w:val="center"/>
          </w:tcPr>
          <w:p w:rsidR="00B75F6E" w:rsidRPr="0019690E" w:rsidRDefault="00B75F6E" w:rsidP="00D1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 xml:space="preserve">у власності  комунальних підприємств </w:t>
            </w:r>
          </w:p>
        </w:tc>
        <w:tc>
          <w:tcPr>
            <w:tcW w:w="1431" w:type="pct"/>
            <w:vAlign w:val="center"/>
          </w:tcPr>
          <w:p w:rsidR="00B75F6E" w:rsidRPr="0019690E" w:rsidRDefault="00B75F6E" w:rsidP="00D120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90E">
              <w:rPr>
                <w:rFonts w:ascii="Times New Roman" w:hAnsi="Times New Roman"/>
                <w:sz w:val="24"/>
                <w:szCs w:val="24"/>
              </w:rPr>
              <w:t xml:space="preserve">97,5% від ставки 0,4% </w:t>
            </w:r>
          </w:p>
        </w:tc>
      </w:tr>
    </w:tbl>
    <w:p w:rsidR="00B75F6E" w:rsidRPr="0019690E" w:rsidRDefault="00B75F6E" w:rsidP="00B75F6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75F6E" w:rsidRPr="0019690E" w:rsidRDefault="00B75F6E" w:rsidP="00B75F6E">
      <w:pPr>
        <w:pStyle w:val="a3"/>
        <w:spacing w:before="0"/>
        <w:ind w:firstLine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9690E">
        <w:rPr>
          <w:rFonts w:ascii="Times New Roman" w:hAnsi="Times New Roman"/>
          <w:b/>
          <w:noProof/>
          <w:sz w:val="24"/>
          <w:szCs w:val="24"/>
        </w:rPr>
        <w:t xml:space="preserve">Примітка:  </w:t>
      </w:r>
    </w:p>
    <w:p w:rsidR="00B75F6E" w:rsidRPr="0019690E" w:rsidRDefault="00B75F6E" w:rsidP="0019690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19690E">
        <w:rPr>
          <w:rFonts w:ascii="Times New Roman" w:hAnsi="Times New Roman"/>
          <w:noProof/>
          <w:sz w:val="24"/>
          <w:szCs w:val="24"/>
        </w:rPr>
        <w:t>Пільги для фізичних осіб застосовуються лише до одного об</w:t>
      </w:r>
      <w:r w:rsidRPr="0019690E">
        <w:rPr>
          <w:rFonts w:ascii="Times New Roman" w:hAnsi="Times New Roman"/>
          <w:noProof/>
          <w:sz w:val="24"/>
          <w:szCs w:val="24"/>
          <w:lang w:val="ru-RU"/>
        </w:rPr>
        <w:t>’</w:t>
      </w:r>
      <w:r w:rsidRPr="0019690E">
        <w:rPr>
          <w:rFonts w:ascii="Times New Roman" w:hAnsi="Times New Roman"/>
          <w:noProof/>
          <w:sz w:val="24"/>
          <w:szCs w:val="24"/>
        </w:rPr>
        <w:t>єкта житлової нерухомості (квартири або житлового будинку).</w:t>
      </w:r>
    </w:p>
    <w:p w:rsidR="005F58E6" w:rsidRPr="0019690E" w:rsidRDefault="00B75F6E" w:rsidP="0019690E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9690E"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     І.О.БУЧУК</w:t>
      </w:r>
      <w:bookmarkStart w:id="0" w:name="_GoBack"/>
      <w:bookmarkEnd w:id="0"/>
    </w:p>
    <w:sectPr w:rsidR="005F58E6" w:rsidRPr="0019690E" w:rsidSect="0019690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CB"/>
    <w:rsid w:val="0007499C"/>
    <w:rsid w:val="000931C2"/>
    <w:rsid w:val="00151E8C"/>
    <w:rsid w:val="0019690E"/>
    <w:rsid w:val="001E0975"/>
    <w:rsid w:val="00220AC4"/>
    <w:rsid w:val="00230DAB"/>
    <w:rsid w:val="00253FAB"/>
    <w:rsid w:val="00271499"/>
    <w:rsid w:val="00272D59"/>
    <w:rsid w:val="002861A4"/>
    <w:rsid w:val="003047BD"/>
    <w:rsid w:val="003D2FF1"/>
    <w:rsid w:val="004375FD"/>
    <w:rsid w:val="004C421F"/>
    <w:rsid w:val="00513BAD"/>
    <w:rsid w:val="00565BCB"/>
    <w:rsid w:val="00590D12"/>
    <w:rsid w:val="005D4776"/>
    <w:rsid w:val="005D47DE"/>
    <w:rsid w:val="005F58E6"/>
    <w:rsid w:val="006203DD"/>
    <w:rsid w:val="00682A08"/>
    <w:rsid w:val="006C2BBE"/>
    <w:rsid w:val="00742862"/>
    <w:rsid w:val="008B6157"/>
    <w:rsid w:val="008F3674"/>
    <w:rsid w:val="00926731"/>
    <w:rsid w:val="009D3BA7"/>
    <w:rsid w:val="00A07304"/>
    <w:rsid w:val="00A20C9F"/>
    <w:rsid w:val="00A342F1"/>
    <w:rsid w:val="00A57123"/>
    <w:rsid w:val="00B05126"/>
    <w:rsid w:val="00B649A0"/>
    <w:rsid w:val="00B75F6E"/>
    <w:rsid w:val="00E13267"/>
    <w:rsid w:val="00E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65BC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565BC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65BCB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65BC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565BC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65BCB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102C-9F55-4B3D-98C7-AA893E0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Елена</cp:lastModifiedBy>
  <cp:revision>4</cp:revision>
  <cp:lastPrinted>2017-12-21T08:10:00Z</cp:lastPrinted>
  <dcterms:created xsi:type="dcterms:W3CDTF">2018-12-21T09:48:00Z</dcterms:created>
  <dcterms:modified xsi:type="dcterms:W3CDTF">2018-12-21T10:10:00Z</dcterms:modified>
</cp:coreProperties>
</file>