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CD8A" w14:textId="77777777" w:rsidR="003A4142" w:rsidRPr="00BB674B" w:rsidRDefault="003A4142" w:rsidP="003A4142">
      <w:pPr>
        <w:jc w:val="center"/>
        <w:rPr>
          <w:b/>
          <w:sz w:val="22"/>
          <w:szCs w:val="22"/>
          <w:lang w:val="uk-UA"/>
        </w:rPr>
      </w:pPr>
      <w:r w:rsidRPr="00BB674B">
        <w:rPr>
          <w:b/>
          <w:sz w:val="22"/>
          <w:szCs w:val="22"/>
          <w:lang w:val="uk-UA"/>
        </w:rPr>
        <w:t>ЗВІТ</w:t>
      </w:r>
    </w:p>
    <w:p w14:paraId="1BB9E972" w14:textId="77777777" w:rsidR="003A4142" w:rsidRDefault="003A4142" w:rsidP="003A4142">
      <w:pPr>
        <w:jc w:val="center"/>
        <w:rPr>
          <w:b/>
          <w:sz w:val="22"/>
          <w:szCs w:val="22"/>
          <w:lang w:val="uk-UA"/>
        </w:rPr>
      </w:pPr>
      <w:r w:rsidRPr="00BB674B">
        <w:rPr>
          <w:b/>
          <w:sz w:val="22"/>
          <w:szCs w:val="22"/>
          <w:lang w:val="uk-UA"/>
        </w:rPr>
        <w:t xml:space="preserve"> про періодичне відстеження результативності регуляторного акту</w:t>
      </w:r>
    </w:p>
    <w:p w14:paraId="420043B6" w14:textId="34AC4A16" w:rsidR="003A4142" w:rsidRPr="00BB674B" w:rsidRDefault="003A4142" w:rsidP="003A4142">
      <w:pPr>
        <w:numPr>
          <w:ilvl w:val="0"/>
          <w:numId w:val="1"/>
        </w:numPr>
        <w:ind w:left="0" w:firstLine="0"/>
        <w:jc w:val="both"/>
        <w:rPr>
          <w:sz w:val="22"/>
          <w:szCs w:val="22"/>
          <w:lang w:val="uk-UA"/>
        </w:rPr>
      </w:pPr>
      <w:r w:rsidRPr="00BB674B">
        <w:rPr>
          <w:b/>
          <w:sz w:val="22"/>
          <w:szCs w:val="22"/>
          <w:lang w:val="uk-UA"/>
        </w:rPr>
        <w:t>Назва регуляторного акту:</w:t>
      </w:r>
      <w:r w:rsidRPr="00BB674B">
        <w:rPr>
          <w:sz w:val="22"/>
          <w:szCs w:val="22"/>
          <w:lang w:val="uk-UA"/>
        </w:rPr>
        <w:t xml:space="preserve"> рішення Дружківської міської ради від </w:t>
      </w:r>
      <w:r w:rsidR="00D2645E">
        <w:rPr>
          <w:sz w:val="22"/>
          <w:szCs w:val="22"/>
          <w:lang w:val="uk-UA"/>
        </w:rPr>
        <w:t>29</w:t>
      </w:r>
      <w:r w:rsidRPr="00BB674B">
        <w:rPr>
          <w:sz w:val="22"/>
          <w:szCs w:val="22"/>
          <w:lang w:val="uk-UA"/>
        </w:rPr>
        <w:t>.</w:t>
      </w:r>
      <w:r w:rsidR="00D2645E">
        <w:rPr>
          <w:sz w:val="22"/>
          <w:szCs w:val="22"/>
          <w:lang w:val="uk-UA"/>
        </w:rPr>
        <w:t>08</w:t>
      </w:r>
      <w:r w:rsidRPr="00BB674B">
        <w:rPr>
          <w:sz w:val="22"/>
          <w:szCs w:val="22"/>
          <w:lang w:val="uk-UA"/>
        </w:rPr>
        <w:t>.20</w:t>
      </w:r>
      <w:r w:rsidR="00D2645E">
        <w:rPr>
          <w:sz w:val="22"/>
          <w:szCs w:val="22"/>
          <w:lang w:val="uk-UA"/>
        </w:rPr>
        <w:t>12</w:t>
      </w:r>
      <w:r w:rsidRPr="00BB674B">
        <w:rPr>
          <w:sz w:val="22"/>
          <w:szCs w:val="22"/>
          <w:lang w:val="uk-UA"/>
        </w:rPr>
        <w:t xml:space="preserve"> № </w:t>
      </w:r>
      <w:r w:rsidR="00D2645E">
        <w:rPr>
          <w:sz w:val="22"/>
          <w:szCs w:val="22"/>
          <w:lang w:val="uk-UA"/>
        </w:rPr>
        <w:t>6</w:t>
      </w:r>
      <w:r w:rsidRPr="00BB674B">
        <w:rPr>
          <w:sz w:val="22"/>
          <w:szCs w:val="22"/>
          <w:lang w:val="uk-UA"/>
        </w:rPr>
        <w:t>/</w:t>
      </w:r>
      <w:r w:rsidR="00D2645E">
        <w:rPr>
          <w:sz w:val="22"/>
          <w:szCs w:val="22"/>
          <w:lang w:val="uk-UA"/>
        </w:rPr>
        <w:t>23</w:t>
      </w:r>
      <w:r w:rsidRPr="00BB674B">
        <w:rPr>
          <w:sz w:val="22"/>
          <w:szCs w:val="22"/>
          <w:lang w:val="uk-UA"/>
        </w:rPr>
        <w:t>-</w:t>
      </w:r>
      <w:r w:rsidR="00D2645E">
        <w:rPr>
          <w:sz w:val="22"/>
          <w:szCs w:val="22"/>
          <w:lang w:val="uk-UA"/>
        </w:rPr>
        <w:t>18</w:t>
      </w:r>
      <w:r w:rsidRPr="00BB674B">
        <w:rPr>
          <w:sz w:val="22"/>
          <w:szCs w:val="22"/>
          <w:lang w:val="uk-UA"/>
        </w:rPr>
        <w:t xml:space="preserve"> «Про затвердження П</w:t>
      </w:r>
      <w:r w:rsidR="00D2645E">
        <w:rPr>
          <w:sz w:val="22"/>
          <w:szCs w:val="22"/>
          <w:lang w:val="uk-UA"/>
        </w:rPr>
        <w:t>орядку переведення жилих будинків (жилих приміщень) приватної, державної та комунальної форми власності у нежилі для подальшого використання цього будинку (приміщення) в інших цілях у місті Дружківка</w:t>
      </w:r>
      <w:r w:rsidRPr="00BB674B">
        <w:rPr>
          <w:sz w:val="22"/>
          <w:szCs w:val="22"/>
          <w:lang w:val="uk-UA"/>
        </w:rPr>
        <w:t>».</w:t>
      </w:r>
    </w:p>
    <w:p w14:paraId="1F3268CC" w14:textId="504BC91D" w:rsidR="003A4142" w:rsidRPr="00BB674B" w:rsidRDefault="003A4142" w:rsidP="003A4142">
      <w:pPr>
        <w:numPr>
          <w:ilvl w:val="0"/>
          <w:numId w:val="1"/>
        </w:numPr>
        <w:ind w:left="0" w:firstLine="0"/>
        <w:jc w:val="both"/>
        <w:rPr>
          <w:sz w:val="22"/>
          <w:szCs w:val="22"/>
          <w:lang w:val="uk-UA"/>
        </w:rPr>
      </w:pPr>
      <w:r w:rsidRPr="00BB674B">
        <w:rPr>
          <w:b/>
          <w:sz w:val="22"/>
          <w:szCs w:val="22"/>
          <w:lang w:val="uk-UA"/>
        </w:rPr>
        <w:t>Виконавець заходів з відстеження:</w:t>
      </w:r>
      <w:r w:rsidRPr="00BB674B">
        <w:rPr>
          <w:sz w:val="22"/>
          <w:szCs w:val="22"/>
          <w:lang w:val="uk-UA"/>
        </w:rPr>
        <w:t xml:space="preserve"> </w:t>
      </w:r>
      <w:r w:rsidR="008F39BD">
        <w:rPr>
          <w:sz w:val="22"/>
          <w:szCs w:val="22"/>
          <w:lang w:val="uk-UA"/>
        </w:rPr>
        <w:t>відділ економічного розвитку виконавчого комітету Дружківської міської ради</w:t>
      </w:r>
      <w:r w:rsidR="00B456B9">
        <w:rPr>
          <w:sz w:val="22"/>
          <w:szCs w:val="22"/>
          <w:lang w:val="uk-UA"/>
        </w:rPr>
        <w:t>, відділ містобудування та архітектури виконавчого комітету Дружківської міської ради.</w:t>
      </w:r>
    </w:p>
    <w:p w14:paraId="6BD6DBB8" w14:textId="72F76E04" w:rsidR="00837AF4" w:rsidRPr="00837AF4" w:rsidRDefault="003A4142" w:rsidP="00837AF4">
      <w:pPr>
        <w:numPr>
          <w:ilvl w:val="0"/>
          <w:numId w:val="1"/>
        </w:numPr>
        <w:ind w:left="0" w:firstLine="0"/>
        <w:jc w:val="both"/>
        <w:rPr>
          <w:sz w:val="22"/>
          <w:szCs w:val="22"/>
          <w:lang w:val="uk-UA"/>
        </w:rPr>
      </w:pPr>
      <w:r w:rsidRPr="00BB674B">
        <w:rPr>
          <w:b/>
          <w:sz w:val="22"/>
          <w:szCs w:val="22"/>
          <w:lang w:val="uk-UA"/>
        </w:rPr>
        <w:t>Цілі прийняття акту:</w:t>
      </w:r>
      <w:r w:rsidRPr="00BB674B">
        <w:rPr>
          <w:sz w:val="22"/>
          <w:szCs w:val="22"/>
          <w:lang w:val="uk-UA"/>
        </w:rPr>
        <w:t xml:space="preserve"> </w:t>
      </w:r>
      <w:r w:rsidR="00B456B9">
        <w:rPr>
          <w:sz w:val="22"/>
          <w:szCs w:val="22"/>
          <w:lang w:val="uk-UA"/>
        </w:rPr>
        <w:t xml:space="preserve">затвердження єдиного порядку переведення житлових приміщень (житлових будинків) у нежилі для подальшого використання цього будинку </w:t>
      </w:r>
      <w:r w:rsidR="00847E5C">
        <w:rPr>
          <w:sz w:val="22"/>
          <w:szCs w:val="22"/>
          <w:lang w:val="uk-UA"/>
        </w:rPr>
        <w:t xml:space="preserve">(приміщення) в інших цілях, не заборонених діючим законодавством; відкритість процедури, прозорість дій органу місцевого самоврядування при переведенні житлових приміщень </w:t>
      </w:r>
      <w:r w:rsidR="00837AF4">
        <w:rPr>
          <w:sz w:val="22"/>
          <w:szCs w:val="22"/>
          <w:lang w:val="uk-UA"/>
        </w:rPr>
        <w:t>(житлових будинків) у нежилі; недопущення обмеження інтересів інших громадян, які проживають у будинку, шляхом визначення уповноваженими органами можливості та доцільності переведення житлових приміщень (житлових будинків) у нежилі без належного на то дозволу; зменшення кількості конфліктних ситуацій з мешканцями прилеглих квартир та приміщень.</w:t>
      </w:r>
    </w:p>
    <w:p w14:paraId="3615A6E7" w14:textId="29B5D3D6" w:rsidR="003A4142" w:rsidRPr="00BB674B" w:rsidRDefault="003A4142" w:rsidP="003A4142">
      <w:pPr>
        <w:numPr>
          <w:ilvl w:val="0"/>
          <w:numId w:val="1"/>
        </w:numPr>
        <w:ind w:left="0" w:firstLine="0"/>
        <w:jc w:val="both"/>
        <w:rPr>
          <w:sz w:val="22"/>
          <w:szCs w:val="22"/>
          <w:lang w:val="uk-UA"/>
        </w:rPr>
      </w:pPr>
      <w:r w:rsidRPr="00BB674B">
        <w:rPr>
          <w:b/>
          <w:sz w:val="22"/>
          <w:szCs w:val="22"/>
          <w:lang w:val="uk-UA"/>
        </w:rPr>
        <w:t>Строк виконання заходів з відстеження:</w:t>
      </w:r>
      <w:r w:rsidRPr="00BB674B">
        <w:rPr>
          <w:sz w:val="22"/>
          <w:szCs w:val="22"/>
          <w:lang w:val="uk-UA"/>
        </w:rPr>
        <w:t xml:space="preserve"> з </w:t>
      </w:r>
      <w:r w:rsidR="00837AF4">
        <w:rPr>
          <w:sz w:val="22"/>
          <w:szCs w:val="22"/>
          <w:lang w:val="uk-UA"/>
        </w:rPr>
        <w:t>04.10.2021</w:t>
      </w:r>
      <w:r w:rsidRPr="00BB674B">
        <w:rPr>
          <w:sz w:val="22"/>
          <w:szCs w:val="22"/>
          <w:lang w:val="uk-UA"/>
        </w:rPr>
        <w:t xml:space="preserve">. по </w:t>
      </w:r>
      <w:r w:rsidR="00837AF4">
        <w:rPr>
          <w:sz w:val="22"/>
          <w:szCs w:val="22"/>
          <w:lang w:val="uk-UA"/>
        </w:rPr>
        <w:t>2</w:t>
      </w:r>
      <w:r w:rsidR="00EE6297">
        <w:rPr>
          <w:sz w:val="22"/>
          <w:szCs w:val="22"/>
          <w:lang w:val="uk-UA"/>
        </w:rPr>
        <w:t>9</w:t>
      </w:r>
      <w:r w:rsidRPr="00BB674B">
        <w:rPr>
          <w:sz w:val="22"/>
          <w:szCs w:val="22"/>
          <w:lang w:val="uk-UA"/>
        </w:rPr>
        <w:t>.</w:t>
      </w:r>
      <w:r w:rsidR="00837AF4">
        <w:rPr>
          <w:sz w:val="22"/>
          <w:szCs w:val="22"/>
          <w:lang w:val="uk-UA"/>
        </w:rPr>
        <w:t>10</w:t>
      </w:r>
      <w:r w:rsidRPr="00BB674B">
        <w:rPr>
          <w:sz w:val="22"/>
          <w:szCs w:val="22"/>
          <w:lang w:val="uk-UA"/>
        </w:rPr>
        <w:t>.20</w:t>
      </w:r>
      <w:r w:rsidR="00131BCE">
        <w:rPr>
          <w:sz w:val="22"/>
          <w:szCs w:val="22"/>
          <w:lang w:val="uk-UA"/>
        </w:rPr>
        <w:t>21</w:t>
      </w:r>
      <w:r w:rsidRPr="00BB674B">
        <w:rPr>
          <w:sz w:val="22"/>
          <w:szCs w:val="22"/>
          <w:lang w:val="uk-UA"/>
        </w:rPr>
        <w:t>.</w:t>
      </w:r>
    </w:p>
    <w:p w14:paraId="77B0C00F" w14:textId="77777777" w:rsidR="003A4142" w:rsidRPr="00BB674B" w:rsidRDefault="003A4142" w:rsidP="003A4142">
      <w:pPr>
        <w:numPr>
          <w:ilvl w:val="0"/>
          <w:numId w:val="1"/>
        </w:numPr>
        <w:ind w:left="0" w:firstLine="0"/>
        <w:jc w:val="both"/>
        <w:rPr>
          <w:sz w:val="22"/>
          <w:szCs w:val="22"/>
          <w:lang w:val="uk-UA"/>
        </w:rPr>
      </w:pPr>
      <w:r w:rsidRPr="00BB674B">
        <w:rPr>
          <w:b/>
          <w:sz w:val="22"/>
          <w:szCs w:val="22"/>
          <w:lang w:val="uk-UA"/>
        </w:rPr>
        <w:t>Тип відстеження:</w:t>
      </w:r>
      <w:r w:rsidRPr="00BB674B">
        <w:rPr>
          <w:sz w:val="22"/>
          <w:szCs w:val="22"/>
          <w:lang w:val="uk-UA"/>
        </w:rPr>
        <w:t xml:space="preserve"> періодичне.</w:t>
      </w:r>
    </w:p>
    <w:p w14:paraId="52C4FEFA" w14:textId="6459D51E" w:rsidR="003A4142" w:rsidRPr="00BB674B" w:rsidRDefault="003A4142" w:rsidP="003A4142">
      <w:pPr>
        <w:numPr>
          <w:ilvl w:val="0"/>
          <w:numId w:val="1"/>
        </w:numPr>
        <w:ind w:left="0" w:firstLine="0"/>
        <w:jc w:val="both"/>
        <w:rPr>
          <w:sz w:val="22"/>
          <w:szCs w:val="22"/>
          <w:lang w:val="uk-UA"/>
        </w:rPr>
      </w:pPr>
      <w:r w:rsidRPr="00BB674B">
        <w:rPr>
          <w:b/>
          <w:sz w:val="22"/>
          <w:szCs w:val="22"/>
          <w:lang w:val="uk-UA"/>
        </w:rPr>
        <w:t>Методи одержання результатів відстеження:</w:t>
      </w:r>
      <w:r w:rsidRPr="00BB674B">
        <w:rPr>
          <w:sz w:val="22"/>
          <w:szCs w:val="22"/>
          <w:lang w:val="uk-UA"/>
        </w:rPr>
        <w:t xml:space="preserve"> статистичний.</w:t>
      </w:r>
    </w:p>
    <w:p w14:paraId="6A769CA7" w14:textId="034CE24B" w:rsidR="003A4142" w:rsidRPr="00BB674B" w:rsidRDefault="003A4142" w:rsidP="003A4142">
      <w:pPr>
        <w:numPr>
          <w:ilvl w:val="0"/>
          <w:numId w:val="1"/>
        </w:numPr>
        <w:ind w:left="0" w:firstLine="0"/>
        <w:jc w:val="both"/>
        <w:rPr>
          <w:sz w:val="22"/>
          <w:szCs w:val="22"/>
          <w:lang w:val="uk-UA"/>
        </w:rPr>
      </w:pPr>
      <w:r w:rsidRPr="00BB674B">
        <w:rPr>
          <w:b/>
          <w:sz w:val="22"/>
          <w:szCs w:val="22"/>
          <w:lang w:val="uk-UA"/>
        </w:rPr>
        <w:t xml:space="preserve">Дані та припущення, на підставі яких відстежувалася результативність, а також способи одержання даних: </w:t>
      </w:r>
      <w:r w:rsidR="00837AF4" w:rsidRPr="00537431">
        <w:rPr>
          <w:bCs/>
          <w:sz w:val="22"/>
          <w:szCs w:val="22"/>
          <w:lang w:val="uk-UA"/>
        </w:rPr>
        <w:t>законодавчі та нормативні</w:t>
      </w:r>
      <w:r w:rsidR="00537431">
        <w:rPr>
          <w:b/>
          <w:sz w:val="22"/>
          <w:szCs w:val="22"/>
          <w:lang w:val="uk-UA"/>
        </w:rPr>
        <w:t xml:space="preserve"> </w:t>
      </w:r>
      <w:r w:rsidR="00537431" w:rsidRPr="00537431">
        <w:rPr>
          <w:bCs/>
          <w:sz w:val="22"/>
          <w:szCs w:val="22"/>
          <w:lang w:val="uk-UA"/>
        </w:rPr>
        <w:t>документи</w:t>
      </w:r>
      <w:r w:rsidR="00537431">
        <w:rPr>
          <w:bCs/>
          <w:sz w:val="22"/>
          <w:szCs w:val="22"/>
          <w:lang w:val="uk-UA"/>
        </w:rPr>
        <w:t>, Закон України від 17.02.2011 №3038-</w:t>
      </w:r>
      <w:r w:rsidR="00537431">
        <w:rPr>
          <w:bCs/>
          <w:sz w:val="22"/>
          <w:szCs w:val="22"/>
          <w:lang w:val="en-US"/>
        </w:rPr>
        <w:t>VI</w:t>
      </w:r>
      <w:r w:rsidR="00537431">
        <w:rPr>
          <w:bCs/>
          <w:sz w:val="22"/>
          <w:szCs w:val="22"/>
          <w:lang w:val="uk-UA"/>
        </w:rPr>
        <w:t xml:space="preserve"> «Про регулювання містобудівної діяльності», </w:t>
      </w:r>
      <w:r w:rsidR="001F224C">
        <w:rPr>
          <w:bCs/>
          <w:sz w:val="22"/>
          <w:szCs w:val="22"/>
          <w:lang w:val="uk-UA"/>
        </w:rPr>
        <w:t xml:space="preserve">житловий кодекс Української РСР, </w:t>
      </w:r>
      <w:r w:rsidR="00537431">
        <w:rPr>
          <w:bCs/>
          <w:sz w:val="22"/>
          <w:szCs w:val="22"/>
          <w:lang w:val="uk-UA"/>
        </w:rPr>
        <w:t>дані відділу містобудування та архітектури виконкому Дружківської міської ради</w:t>
      </w:r>
      <w:r w:rsidR="001F224C">
        <w:rPr>
          <w:bCs/>
          <w:sz w:val="22"/>
          <w:szCs w:val="22"/>
          <w:lang w:val="uk-UA"/>
        </w:rPr>
        <w:t>.</w:t>
      </w:r>
    </w:p>
    <w:p w14:paraId="636498B8" w14:textId="1C64EB40" w:rsidR="003A4142" w:rsidRDefault="003A4142" w:rsidP="003A4142">
      <w:pPr>
        <w:numPr>
          <w:ilvl w:val="0"/>
          <w:numId w:val="1"/>
        </w:numPr>
        <w:ind w:left="0" w:firstLine="0"/>
        <w:jc w:val="both"/>
        <w:rPr>
          <w:b/>
          <w:sz w:val="22"/>
          <w:szCs w:val="22"/>
          <w:lang w:val="uk-UA"/>
        </w:rPr>
      </w:pPr>
      <w:r w:rsidRPr="00BB674B">
        <w:rPr>
          <w:b/>
          <w:sz w:val="22"/>
          <w:szCs w:val="22"/>
          <w:lang w:val="uk-UA"/>
        </w:rPr>
        <w:t>Кількісні та якісні значення показників  результативності акту</w:t>
      </w:r>
      <w:r w:rsidR="00C65FCE">
        <w:rPr>
          <w:b/>
          <w:sz w:val="22"/>
          <w:szCs w:val="22"/>
          <w:lang w:val="uk-UA"/>
        </w:rPr>
        <w:t>.</w:t>
      </w:r>
    </w:p>
    <w:tbl>
      <w:tblPr>
        <w:tblStyle w:val="a5"/>
        <w:tblW w:w="10647" w:type="dxa"/>
        <w:tblLook w:val="04A0" w:firstRow="1" w:lastRow="0" w:firstColumn="1" w:lastColumn="0" w:noHBand="0" w:noVBand="1"/>
      </w:tblPr>
      <w:tblGrid>
        <w:gridCol w:w="2661"/>
        <w:gridCol w:w="800"/>
        <w:gridCol w:w="717"/>
        <w:gridCol w:w="717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C4121C" w14:paraId="52FBB86D" w14:textId="545E9DFF" w:rsidTr="00902BF8">
        <w:tc>
          <w:tcPr>
            <w:tcW w:w="2830" w:type="dxa"/>
          </w:tcPr>
          <w:p w14:paraId="6E987EEE" w14:textId="1E2019B1" w:rsidR="0062075F" w:rsidRPr="0062075F" w:rsidRDefault="0062075F" w:rsidP="0062075F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2075F">
              <w:rPr>
                <w:bCs/>
                <w:sz w:val="20"/>
                <w:szCs w:val="20"/>
                <w:lang w:val="uk-UA"/>
              </w:rPr>
              <w:t>Показники</w:t>
            </w:r>
            <w:r>
              <w:rPr>
                <w:bCs/>
                <w:sz w:val="20"/>
                <w:szCs w:val="20"/>
                <w:lang w:val="uk-UA"/>
              </w:rPr>
              <w:t xml:space="preserve"> результативності</w:t>
            </w:r>
            <w:r w:rsidRPr="0062075F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41" w:type="dxa"/>
          </w:tcPr>
          <w:p w14:paraId="6B4A6DE3" w14:textId="773755A1" w:rsidR="0062075F" w:rsidRPr="0062075F" w:rsidRDefault="0062075F" w:rsidP="0062075F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736" w:type="dxa"/>
          </w:tcPr>
          <w:p w14:paraId="2166A05E" w14:textId="24B96774" w:rsidR="0062075F" w:rsidRPr="0062075F" w:rsidRDefault="0062075F" w:rsidP="0062075F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2012 рік</w:t>
            </w:r>
          </w:p>
        </w:tc>
        <w:tc>
          <w:tcPr>
            <w:tcW w:w="736" w:type="dxa"/>
          </w:tcPr>
          <w:p w14:paraId="7922F635" w14:textId="03A153E4" w:rsidR="0062075F" w:rsidRPr="0062075F" w:rsidRDefault="0062075F" w:rsidP="0062075F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52A5D">
              <w:rPr>
                <w:bCs/>
                <w:sz w:val="20"/>
                <w:szCs w:val="20"/>
                <w:lang w:val="uk-UA"/>
              </w:rPr>
              <w:t>201</w:t>
            </w:r>
            <w:r>
              <w:rPr>
                <w:bCs/>
                <w:sz w:val="20"/>
                <w:szCs w:val="20"/>
                <w:lang w:val="uk-UA"/>
              </w:rPr>
              <w:t>3</w:t>
            </w:r>
            <w:r w:rsidRPr="00652A5D">
              <w:rPr>
                <w:bCs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738" w:type="dxa"/>
          </w:tcPr>
          <w:p w14:paraId="4D4C5B12" w14:textId="521B2676" w:rsidR="0062075F" w:rsidRPr="0062075F" w:rsidRDefault="0062075F" w:rsidP="0062075F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52A5D">
              <w:rPr>
                <w:bCs/>
                <w:sz w:val="20"/>
                <w:szCs w:val="20"/>
                <w:lang w:val="uk-UA"/>
              </w:rPr>
              <w:t>201</w:t>
            </w:r>
            <w:r>
              <w:rPr>
                <w:bCs/>
                <w:sz w:val="20"/>
                <w:szCs w:val="20"/>
                <w:lang w:val="uk-UA"/>
              </w:rPr>
              <w:t>4</w:t>
            </w:r>
            <w:r w:rsidRPr="00652A5D">
              <w:rPr>
                <w:bCs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738" w:type="dxa"/>
          </w:tcPr>
          <w:p w14:paraId="054E9949" w14:textId="661C848C" w:rsidR="0062075F" w:rsidRPr="0062075F" w:rsidRDefault="0062075F" w:rsidP="0062075F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52A5D">
              <w:rPr>
                <w:bCs/>
                <w:sz w:val="20"/>
                <w:szCs w:val="20"/>
                <w:lang w:val="uk-UA"/>
              </w:rPr>
              <w:t>201</w:t>
            </w:r>
            <w:r>
              <w:rPr>
                <w:bCs/>
                <w:sz w:val="20"/>
                <w:szCs w:val="20"/>
                <w:lang w:val="uk-UA"/>
              </w:rPr>
              <w:t>5</w:t>
            </w:r>
            <w:r w:rsidRPr="00652A5D">
              <w:rPr>
                <w:bCs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738" w:type="dxa"/>
          </w:tcPr>
          <w:p w14:paraId="335B2D88" w14:textId="337BF8C9" w:rsidR="0062075F" w:rsidRPr="0062075F" w:rsidRDefault="0062075F" w:rsidP="0062075F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52A5D">
              <w:rPr>
                <w:bCs/>
                <w:sz w:val="20"/>
                <w:szCs w:val="20"/>
                <w:lang w:val="uk-UA"/>
              </w:rPr>
              <w:t>201</w:t>
            </w:r>
            <w:r>
              <w:rPr>
                <w:bCs/>
                <w:sz w:val="20"/>
                <w:szCs w:val="20"/>
                <w:lang w:val="uk-UA"/>
              </w:rPr>
              <w:t>6</w:t>
            </w:r>
            <w:r w:rsidRPr="00652A5D">
              <w:rPr>
                <w:bCs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738" w:type="dxa"/>
          </w:tcPr>
          <w:p w14:paraId="4BEE9418" w14:textId="51D73E52" w:rsidR="0062075F" w:rsidRPr="0062075F" w:rsidRDefault="0062075F" w:rsidP="0062075F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52A5D">
              <w:rPr>
                <w:bCs/>
                <w:sz w:val="20"/>
                <w:szCs w:val="20"/>
                <w:lang w:val="uk-UA"/>
              </w:rPr>
              <w:t>201</w:t>
            </w:r>
            <w:r>
              <w:rPr>
                <w:bCs/>
                <w:sz w:val="20"/>
                <w:szCs w:val="20"/>
                <w:lang w:val="uk-UA"/>
              </w:rPr>
              <w:t>7</w:t>
            </w:r>
            <w:r w:rsidRPr="00652A5D">
              <w:rPr>
                <w:bCs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738" w:type="dxa"/>
          </w:tcPr>
          <w:p w14:paraId="1AB446D2" w14:textId="1E187650" w:rsidR="0062075F" w:rsidRPr="0062075F" w:rsidRDefault="0062075F" w:rsidP="0062075F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52A5D">
              <w:rPr>
                <w:bCs/>
                <w:sz w:val="20"/>
                <w:szCs w:val="20"/>
                <w:lang w:val="uk-UA"/>
              </w:rPr>
              <w:t>201</w:t>
            </w:r>
            <w:r>
              <w:rPr>
                <w:bCs/>
                <w:sz w:val="20"/>
                <w:szCs w:val="20"/>
                <w:lang w:val="uk-UA"/>
              </w:rPr>
              <w:t>8</w:t>
            </w:r>
            <w:r w:rsidRPr="00652A5D">
              <w:rPr>
                <w:bCs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738" w:type="dxa"/>
          </w:tcPr>
          <w:p w14:paraId="110DA18F" w14:textId="5B96E73F" w:rsidR="0062075F" w:rsidRPr="0062075F" w:rsidRDefault="0062075F" w:rsidP="0062075F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52A5D">
              <w:rPr>
                <w:bCs/>
                <w:sz w:val="20"/>
                <w:szCs w:val="20"/>
                <w:lang w:val="uk-UA"/>
              </w:rPr>
              <w:t>201</w:t>
            </w:r>
            <w:r>
              <w:rPr>
                <w:bCs/>
                <w:sz w:val="20"/>
                <w:szCs w:val="20"/>
                <w:lang w:val="uk-UA"/>
              </w:rPr>
              <w:t>9</w:t>
            </w:r>
            <w:r w:rsidRPr="00652A5D">
              <w:rPr>
                <w:bCs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738" w:type="dxa"/>
          </w:tcPr>
          <w:p w14:paraId="4EC853ED" w14:textId="0ABA5929" w:rsidR="0062075F" w:rsidRPr="0062075F" w:rsidRDefault="0062075F" w:rsidP="0062075F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52A5D">
              <w:rPr>
                <w:bCs/>
                <w:sz w:val="20"/>
                <w:szCs w:val="20"/>
                <w:lang w:val="uk-UA"/>
              </w:rPr>
              <w:t>20</w:t>
            </w:r>
            <w:r>
              <w:rPr>
                <w:bCs/>
                <w:sz w:val="20"/>
                <w:szCs w:val="20"/>
                <w:lang w:val="uk-UA"/>
              </w:rPr>
              <w:t>20</w:t>
            </w:r>
            <w:r w:rsidRPr="00652A5D">
              <w:rPr>
                <w:bCs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738" w:type="dxa"/>
          </w:tcPr>
          <w:p w14:paraId="4DDB62DA" w14:textId="77777777" w:rsidR="00C4121C" w:rsidRDefault="00C4121C" w:rsidP="0062075F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 міс.</w:t>
            </w:r>
          </w:p>
          <w:p w14:paraId="4CE027F0" w14:textId="3FAC3E36" w:rsidR="0062075F" w:rsidRPr="0062075F" w:rsidRDefault="0062075F" w:rsidP="0062075F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52A5D">
              <w:rPr>
                <w:bCs/>
                <w:sz w:val="20"/>
                <w:szCs w:val="20"/>
                <w:lang w:val="uk-UA"/>
              </w:rPr>
              <w:t>202</w:t>
            </w:r>
            <w:r>
              <w:rPr>
                <w:bCs/>
                <w:sz w:val="20"/>
                <w:szCs w:val="20"/>
                <w:lang w:val="uk-UA"/>
              </w:rPr>
              <w:t>1</w:t>
            </w:r>
            <w:r w:rsidRPr="00652A5D">
              <w:rPr>
                <w:bCs/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CC7235" w14:paraId="66D1F932" w14:textId="4E68F608" w:rsidTr="00902BF8">
        <w:tc>
          <w:tcPr>
            <w:tcW w:w="2830" w:type="dxa"/>
          </w:tcPr>
          <w:p w14:paraId="1DDF0065" w14:textId="0426C919" w:rsidR="00CC7235" w:rsidRPr="0062075F" w:rsidRDefault="00CC7235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Розмір надходжень до бюджетів усіх рівнів від дії РА</w:t>
            </w:r>
          </w:p>
        </w:tc>
        <w:tc>
          <w:tcPr>
            <w:tcW w:w="7817" w:type="dxa"/>
            <w:gridSpan w:val="11"/>
          </w:tcPr>
          <w:p w14:paraId="2BB37490" w14:textId="746C18BD" w:rsidR="00CC7235" w:rsidRPr="0062075F" w:rsidRDefault="00CC7235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Кошти до бюджетів усіх рівнів від дії РА не надходили; надходження коштів РА не передбачені</w:t>
            </w:r>
            <w:r w:rsidR="00C4121C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EE1A7F" w14:paraId="3914F35F" w14:textId="1E8B821F" w:rsidTr="00902BF8">
        <w:tc>
          <w:tcPr>
            <w:tcW w:w="2830" w:type="dxa"/>
          </w:tcPr>
          <w:p w14:paraId="2051DAB8" w14:textId="2C97539C" w:rsidR="00EE1A7F" w:rsidRPr="0062075F" w:rsidRDefault="00EE1A7F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Коло суб’єктів господарювання та/ або фізичних осіб, на яких поширюється дія РА</w:t>
            </w:r>
          </w:p>
        </w:tc>
        <w:tc>
          <w:tcPr>
            <w:tcW w:w="7817" w:type="dxa"/>
            <w:gridSpan w:val="11"/>
          </w:tcPr>
          <w:p w14:paraId="690B8F83" w14:textId="5B84C038" w:rsidR="00EE1A7F" w:rsidRPr="0062075F" w:rsidRDefault="00EE1A7F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Дія РА поширюється на власників жилих будинків (жилих приміщень) приватної, державної та комунальної форми власності, які бажають перевести ці будинки (приміщення) у нежилі для подальшого використання їх в інших цілях</w:t>
            </w:r>
          </w:p>
        </w:tc>
      </w:tr>
      <w:tr w:rsidR="00EE1A7F" w14:paraId="252A8DF5" w14:textId="7B8D93E4" w:rsidTr="00902BF8">
        <w:tc>
          <w:tcPr>
            <w:tcW w:w="2830" w:type="dxa"/>
          </w:tcPr>
          <w:p w14:paraId="73C9588D" w14:textId="0D5CCEBE" w:rsidR="00EE1A7F" w:rsidRPr="0062075F" w:rsidRDefault="00EE1A7F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Розмір коштів та час, що витрачатимуться суб’єктами господарювання та /або фізичними особами, пов’язані з виконанням вимог РА</w:t>
            </w:r>
          </w:p>
        </w:tc>
        <w:tc>
          <w:tcPr>
            <w:tcW w:w="7817" w:type="dxa"/>
            <w:gridSpan w:val="11"/>
          </w:tcPr>
          <w:p w14:paraId="016F82F9" w14:textId="2F6C6F96" w:rsidR="00EE1A7F" w:rsidRPr="0062075F" w:rsidRDefault="00EE1A7F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Суб’єкти господарювання та фізичні особи, на яких поширюється дія РА, надають до виконавчого комітету Дружківської міської ради визначений </w:t>
            </w:r>
            <w:r w:rsidR="00B3772B">
              <w:rPr>
                <w:bCs/>
                <w:sz w:val="20"/>
                <w:szCs w:val="20"/>
                <w:lang w:val="uk-UA"/>
              </w:rPr>
              <w:t xml:space="preserve">РА </w:t>
            </w:r>
            <w:r>
              <w:rPr>
                <w:bCs/>
                <w:sz w:val="20"/>
                <w:szCs w:val="20"/>
                <w:lang w:val="uk-UA"/>
              </w:rPr>
              <w:t xml:space="preserve">пакет документів.  </w:t>
            </w:r>
            <w:r w:rsidR="007568B7">
              <w:rPr>
                <w:bCs/>
                <w:sz w:val="20"/>
                <w:szCs w:val="20"/>
                <w:lang w:val="uk-UA"/>
              </w:rPr>
              <w:t>Приблизний термін отримання дозволу на переведення жилих будинків (жилих приміщень)</w:t>
            </w:r>
            <w:r w:rsidR="00B3772B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7568B7">
              <w:rPr>
                <w:bCs/>
                <w:sz w:val="20"/>
                <w:szCs w:val="20"/>
                <w:lang w:val="uk-UA"/>
              </w:rPr>
              <w:t>у нежилі 1,5-2 місяці. Додаткових коштів, окрім коштів замовника на підготовку ним документів, РА не передбачено; протягом звітного періоду кошти витра</w:t>
            </w:r>
            <w:r w:rsidR="00212499">
              <w:rPr>
                <w:bCs/>
                <w:sz w:val="20"/>
                <w:szCs w:val="20"/>
                <w:lang w:val="uk-UA"/>
              </w:rPr>
              <w:t>чалися лише на підготовку документів.</w:t>
            </w:r>
            <w:r w:rsidR="007568B7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212499" w:rsidRPr="00B3772B" w14:paraId="65278CCD" w14:textId="2E0048B9" w:rsidTr="00902BF8">
        <w:tc>
          <w:tcPr>
            <w:tcW w:w="2830" w:type="dxa"/>
          </w:tcPr>
          <w:p w14:paraId="6C94A414" w14:textId="141CEBF4" w:rsidR="00212499" w:rsidRPr="0062075F" w:rsidRDefault="00212499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Рівень поінформованості суб’єктів господарювання та/або фізичних осіб з основних положень акта</w:t>
            </w:r>
          </w:p>
        </w:tc>
        <w:tc>
          <w:tcPr>
            <w:tcW w:w="7817" w:type="dxa"/>
            <w:gridSpan w:val="11"/>
          </w:tcPr>
          <w:p w14:paraId="5BF2B8DF" w14:textId="2C64EDE0" w:rsidR="00212499" w:rsidRPr="00456F79" w:rsidRDefault="00212499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100% власник жилих будинків (жилих приміщень), які бажають перевести їх у нежилі, надається інформація щодо основних положень РА працівниками</w:t>
            </w:r>
            <w:r w:rsidR="000C5EFB">
              <w:rPr>
                <w:bCs/>
                <w:sz w:val="20"/>
                <w:szCs w:val="20"/>
                <w:lang w:val="uk-UA"/>
              </w:rPr>
              <w:t xml:space="preserve"> відділу містобудування та архітектури в приймальні дні особисто та за телефоном  у інші часи. Окрім того, РА оприлюднений </w:t>
            </w:r>
            <w:r w:rsidR="008334AD">
              <w:rPr>
                <w:bCs/>
                <w:sz w:val="20"/>
                <w:szCs w:val="20"/>
                <w:lang w:val="uk-UA"/>
              </w:rPr>
              <w:t>на офіційному порталі</w:t>
            </w:r>
            <w:r w:rsidR="00456F79">
              <w:rPr>
                <w:bCs/>
                <w:sz w:val="20"/>
                <w:szCs w:val="20"/>
                <w:lang w:val="uk-UA"/>
              </w:rPr>
              <w:t xml:space="preserve"> Дружківської міської ради в мережі Інтернет (</w:t>
            </w:r>
            <w:hyperlink r:id="rId6" w:history="1">
              <w:r w:rsidR="00456F79" w:rsidRPr="00037E8E">
                <w:rPr>
                  <w:rStyle w:val="a3"/>
                  <w:bCs/>
                  <w:sz w:val="20"/>
                  <w:szCs w:val="20"/>
                  <w:lang w:val="en-US"/>
                </w:rPr>
                <w:t>www</w:t>
              </w:r>
              <w:r w:rsidR="00456F79" w:rsidRPr="00456F79">
                <w:rPr>
                  <w:rStyle w:val="a3"/>
                  <w:bCs/>
                  <w:sz w:val="20"/>
                  <w:szCs w:val="20"/>
                  <w:lang w:val="uk-UA"/>
                </w:rPr>
                <w:t>.</w:t>
              </w:r>
              <w:r w:rsidR="00456F79" w:rsidRPr="00037E8E">
                <w:rPr>
                  <w:rStyle w:val="a3"/>
                  <w:bCs/>
                  <w:sz w:val="20"/>
                  <w:szCs w:val="20"/>
                  <w:lang w:val="en-US"/>
                </w:rPr>
                <w:t>druisp</w:t>
              </w:r>
              <w:r w:rsidR="00456F79" w:rsidRPr="00456F79">
                <w:rPr>
                  <w:rStyle w:val="a3"/>
                  <w:bCs/>
                  <w:sz w:val="20"/>
                  <w:szCs w:val="20"/>
                  <w:lang w:val="uk-UA"/>
                </w:rPr>
                <w:t>.</w:t>
              </w:r>
              <w:r w:rsidR="00456F79" w:rsidRPr="00037E8E">
                <w:rPr>
                  <w:rStyle w:val="a3"/>
                  <w:bCs/>
                  <w:sz w:val="20"/>
                  <w:szCs w:val="20"/>
                  <w:lang w:val="en-US"/>
                </w:rPr>
                <w:t>org</w:t>
              </w:r>
              <w:r w:rsidR="00456F79" w:rsidRPr="00456F79">
                <w:rPr>
                  <w:rStyle w:val="a3"/>
                  <w:bCs/>
                  <w:sz w:val="20"/>
                  <w:szCs w:val="20"/>
                  <w:lang w:val="uk-UA"/>
                </w:rPr>
                <w:t>.</w:t>
              </w:r>
              <w:r w:rsidR="00456F79" w:rsidRPr="00037E8E">
                <w:rPr>
                  <w:rStyle w:val="a3"/>
                  <w:bCs/>
                  <w:sz w:val="20"/>
                  <w:szCs w:val="20"/>
                  <w:lang w:val="en-US"/>
                </w:rPr>
                <w:t>ua</w:t>
              </w:r>
            </w:hyperlink>
            <w:r w:rsidR="00456F79" w:rsidRPr="00456F79">
              <w:rPr>
                <w:bCs/>
                <w:sz w:val="20"/>
                <w:szCs w:val="20"/>
                <w:lang w:val="uk-UA"/>
              </w:rPr>
              <w:t xml:space="preserve">) </w:t>
            </w:r>
            <w:r w:rsidR="00456F79">
              <w:rPr>
                <w:bCs/>
                <w:sz w:val="20"/>
                <w:szCs w:val="20"/>
                <w:lang w:val="uk-UA"/>
              </w:rPr>
              <w:t xml:space="preserve">і міській суспільно-політичній газеті «Дружковский рабочий» </w:t>
            </w:r>
            <w:r w:rsidR="00B3772B">
              <w:rPr>
                <w:bCs/>
                <w:sz w:val="20"/>
                <w:szCs w:val="20"/>
                <w:lang w:val="uk-UA"/>
              </w:rPr>
              <w:t xml:space="preserve">                            </w:t>
            </w:r>
            <w:r w:rsidR="00456F79">
              <w:rPr>
                <w:bCs/>
                <w:sz w:val="20"/>
                <w:szCs w:val="20"/>
                <w:lang w:val="uk-UA"/>
              </w:rPr>
              <w:t xml:space="preserve">№ 37 (6785) від 06.09.2012 </w:t>
            </w:r>
          </w:p>
        </w:tc>
      </w:tr>
      <w:tr w:rsidR="00212499" w14:paraId="35E14345" w14:textId="09AB3C49" w:rsidTr="00902BF8">
        <w:tc>
          <w:tcPr>
            <w:tcW w:w="2830" w:type="dxa"/>
          </w:tcPr>
          <w:p w14:paraId="39517282" w14:textId="125923C8" w:rsidR="00263273" w:rsidRPr="0062075F" w:rsidRDefault="00456F79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Кількість звернень , що надійшли від власників (житлових приміщень) (юридичних та фізичних осіб) щодо переведення жилих будинків(жилих приміщень) приватної, державної та комунальної власності у нежилі для подальшого використання цього будинку (приміщення) в інших цілях</w:t>
            </w:r>
          </w:p>
        </w:tc>
        <w:tc>
          <w:tcPr>
            <w:tcW w:w="441" w:type="dxa"/>
          </w:tcPr>
          <w:p w14:paraId="04A2BD7F" w14:textId="2267EED9" w:rsidR="00263273" w:rsidRPr="0062075F" w:rsidRDefault="000339B0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од.</w:t>
            </w:r>
          </w:p>
        </w:tc>
        <w:tc>
          <w:tcPr>
            <w:tcW w:w="736" w:type="dxa"/>
          </w:tcPr>
          <w:p w14:paraId="724C6390" w14:textId="0842CE02" w:rsidR="00263273" w:rsidRPr="0062075F" w:rsidRDefault="000339B0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36" w:type="dxa"/>
          </w:tcPr>
          <w:p w14:paraId="77946E84" w14:textId="05E5C7AC" w:rsidR="00263273" w:rsidRPr="0062075F" w:rsidRDefault="000339B0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738" w:type="dxa"/>
          </w:tcPr>
          <w:p w14:paraId="1460AAAD" w14:textId="5B29B3A6" w:rsidR="00263273" w:rsidRPr="0062075F" w:rsidRDefault="000339B0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38" w:type="dxa"/>
          </w:tcPr>
          <w:p w14:paraId="5B8077E7" w14:textId="69DDE0E9" w:rsidR="00263273" w:rsidRPr="0062075F" w:rsidRDefault="000339B0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38" w:type="dxa"/>
          </w:tcPr>
          <w:p w14:paraId="6A84B693" w14:textId="000A4349" w:rsidR="00263273" w:rsidRPr="0062075F" w:rsidRDefault="000339B0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38" w:type="dxa"/>
          </w:tcPr>
          <w:p w14:paraId="005D278F" w14:textId="24C3E591" w:rsidR="00263273" w:rsidRPr="0062075F" w:rsidRDefault="000339B0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38" w:type="dxa"/>
          </w:tcPr>
          <w:p w14:paraId="10C3399F" w14:textId="0A4ABF4D" w:rsidR="00263273" w:rsidRPr="0062075F" w:rsidRDefault="000339B0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38" w:type="dxa"/>
          </w:tcPr>
          <w:p w14:paraId="2C8643BC" w14:textId="55B1A8BA" w:rsidR="00263273" w:rsidRPr="0062075F" w:rsidRDefault="000339B0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38" w:type="dxa"/>
          </w:tcPr>
          <w:p w14:paraId="2CA65F3A" w14:textId="4E8B2C21" w:rsidR="00263273" w:rsidRPr="0062075F" w:rsidRDefault="000339B0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38" w:type="dxa"/>
          </w:tcPr>
          <w:p w14:paraId="093482A8" w14:textId="440F7E73" w:rsidR="00263273" w:rsidRPr="0062075F" w:rsidRDefault="000339B0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212499" w14:paraId="0F31FA09" w14:textId="3E851B1B" w:rsidTr="00902BF8">
        <w:tc>
          <w:tcPr>
            <w:tcW w:w="2830" w:type="dxa"/>
          </w:tcPr>
          <w:p w14:paraId="1DDE6E0F" w14:textId="0D35B748" w:rsidR="00263273" w:rsidRPr="0062075F" w:rsidRDefault="00456F79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Кількість переведених житлових будинків (житлових приміщень) у нежилі для подальшого використання цього будинку (приміщення) в інших цілях</w:t>
            </w:r>
          </w:p>
        </w:tc>
        <w:tc>
          <w:tcPr>
            <w:tcW w:w="441" w:type="dxa"/>
          </w:tcPr>
          <w:p w14:paraId="7930ED91" w14:textId="2D4EF9A0" w:rsidR="00263273" w:rsidRPr="0062075F" w:rsidRDefault="000339B0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од.</w:t>
            </w:r>
          </w:p>
        </w:tc>
        <w:tc>
          <w:tcPr>
            <w:tcW w:w="736" w:type="dxa"/>
          </w:tcPr>
          <w:p w14:paraId="6516D5C0" w14:textId="49CB3F26" w:rsidR="00263273" w:rsidRPr="0062075F" w:rsidRDefault="000339B0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736" w:type="dxa"/>
          </w:tcPr>
          <w:p w14:paraId="38130D2E" w14:textId="15426E59" w:rsidR="00263273" w:rsidRPr="0062075F" w:rsidRDefault="000339B0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738" w:type="dxa"/>
          </w:tcPr>
          <w:p w14:paraId="4DED5CCD" w14:textId="30900222" w:rsidR="00263273" w:rsidRPr="0062075F" w:rsidRDefault="000339B0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38" w:type="dxa"/>
          </w:tcPr>
          <w:p w14:paraId="260DFC11" w14:textId="1FAE95DD" w:rsidR="00263273" w:rsidRPr="0062075F" w:rsidRDefault="000339B0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38" w:type="dxa"/>
          </w:tcPr>
          <w:p w14:paraId="018BD89E" w14:textId="07B80C04" w:rsidR="00263273" w:rsidRPr="0062075F" w:rsidRDefault="000339B0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38" w:type="dxa"/>
          </w:tcPr>
          <w:p w14:paraId="6D01E0F7" w14:textId="3AB1A8EE" w:rsidR="00263273" w:rsidRPr="0062075F" w:rsidRDefault="000339B0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38" w:type="dxa"/>
          </w:tcPr>
          <w:p w14:paraId="7C204D14" w14:textId="4CAA8422" w:rsidR="00263273" w:rsidRPr="0062075F" w:rsidRDefault="000339B0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38" w:type="dxa"/>
          </w:tcPr>
          <w:p w14:paraId="7E39EC7A" w14:textId="2C13E7A4" w:rsidR="00263273" w:rsidRPr="0062075F" w:rsidRDefault="000339B0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38" w:type="dxa"/>
          </w:tcPr>
          <w:p w14:paraId="63ECE73C" w14:textId="12AA3AC0" w:rsidR="00263273" w:rsidRPr="0062075F" w:rsidRDefault="000339B0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38" w:type="dxa"/>
          </w:tcPr>
          <w:p w14:paraId="136DBDDE" w14:textId="279C85C2" w:rsidR="00263273" w:rsidRPr="0062075F" w:rsidRDefault="000339B0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212499" w14:paraId="775D3036" w14:textId="7419A611" w:rsidTr="00902BF8">
        <w:tc>
          <w:tcPr>
            <w:tcW w:w="2830" w:type="dxa"/>
          </w:tcPr>
          <w:p w14:paraId="0B51EC89" w14:textId="7F804797" w:rsidR="00263273" w:rsidRPr="0062075F" w:rsidRDefault="00456F79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Кількість відмов на звернення, що надійшли від власників житлових будинків  (житлових приміщень) (юридичних та фізичних осіб), які підпадають під дію РА</w:t>
            </w:r>
          </w:p>
        </w:tc>
        <w:tc>
          <w:tcPr>
            <w:tcW w:w="441" w:type="dxa"/>
          </w:tcPr>
          <w:p w14:paraId="60EBFF43" w14:textId="44D3038F" w:rsidR="00263273" w:rsidRPr="0062075F" w:rsidRDefault="000339B0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од.</w:t>
            </w:r>
          </w:p>
        </w:tc>
        <w:tc>
          <w:tcPr>
            <w:tcW w:w="736" w:type="dxa"/>
          </w:tcPr>
          <w:p w14:paraId="58AC8FB8" w14:textId="6E3C5D10" w:rsidR="00263273" w:rsidRPr="0062075F" w:rsidRDefault="000339B0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736" w:type="dxa"/>
          </w:tcPr>
          <w:p w14:paraId="6F1272A3" w14:textId="1CCB2008" w:rsidR="00263273" w:rsidRPr="0062075F" w:rsidRDefault="000339B0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738" w:type="dxa"/>
          </w:tcPr>
          <w:p w14:paraId="31C4CD87" w14:textId="37989811" w:rsidR="00263273" w:rsidRPr="0062075F" w:rsidRDefault="000339B0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738" w:type="dxa"/>
          </w:tcPr>
          <w:p w14:paraId="660D86B0" w14:textId="740E90C0" w:rsidR="00263273" w:rsidRPr="0062075F" w:rsidRDefault="000339B0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738" w:type="dxa"/>
          </w:tcPr>
          <w:p w14:paraId="2FF4F531" w14:textId="6DD40803" w:rsidR="00263273" w:rsidRPr="0062075F" w:rsidRDefault="000339B0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738" w:type="dxa"/>
          </w:tcPr>
          <w:p w14:paraId="636F17D0" w14:textId="7A445B70" w:rsidR="00263273" w:rsidRPr="0062075F" w:rsidRDefault="000339B0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738" w:type="dxa"/>
          </w:tcPr>
          <w:p w14:paraId="37F17D8D" w14:textId="2B74DDBC" w:rsidR="00263273" w:rsidRPr="0062075F" w:rsidRDefault="000339B0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738" w:type="dxa"/>
          </w:tcPr>
          <w:p w14:paraId="466A4EC8" w14:textId="3D6B4D7D" w:rsidR="00263273" w:rsidRPr="0062075F" w:rsidRDefault="000339B0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738" w:type="dxa"/>
          </w:tcPr>
          <w:p w14:paraId="67259AE2" w14:textId="5888863B" w:rsidR="00263273" w:rsidRPr="0062075F" w:rsidRDefault="000339B0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738" w:type="dxa"/>
          </w:tcPr>
          <w:p w14:paraId="1704D1C4" w14:textId="08926CC3" w:rsidR="00263273" w:rsidRPr="0062075F" w:rsidRDefault="000339B0" w:rsidP="0026327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</w:tbl>
    <w:p w14:paraId="66A1C765" w14:textId="77777777" w:rsidR="00263273" w:rsidRDefault="00263273" w:rsidP="00263273">
      <w:pPr>
        <w:jc w:val="both"/>
        <w:rPr>
          <w:b/>
          <w:sz w:val="22"/>
          <w:szCs w:val="22"/>
          <w:lang w:val="uk-UA"/>
        </w:rPr>
      </w:pPr>
    </w:p>
    <w:p w14:paraId="66CCBE03" w14:textId="77777777" w:rsidR="00C65FCE" w:rsidRDefault="00C65FCE" w:rsidP="00C65FCE">
      <w:pPr>
        <w:jc w:val="both"/>
        <w:rPr>
          <w:b/>
          <w:sz w:val="22"/>
          <w:szCs w:val="22"/>
          <w:lang w:val="uk-UA"/>
        </w:rPr>
      </w:pPr>
    </w:p>
    <w:p w14:paraId="27AB4B79" w14:textId="157127BA" w:rsidR="002F5C7F" w:rsidRDefault="002F5C7F" w:rsidP="002F5C7F">
      <w:pPr>
        <w:jc w:val="both"/>
        <w:rPr>
          <w:sz w:val="22"/>
          <w:szCs w:val="22"/>
          <w:lang w:val="uk-UA"/>
        </w:rPr>
      </w:pPr>
      <w:r w:rsidRPr="002F5C7F">
        <w:rPr>
          <w:sz w:val="22"/>
          <w:szCs w:val="22"/>
          <w:lang w:val="uk-UA"/>
        </w:rPr>
        <w:t>9.</w:t>
      </w:r>
      <w:r>
        <w:rPr>
          <w:sz w:val="22"/>
          <w:szCs w:val="22"/>
          <w:lang w:val="uk-UA"/>
        </w:rPr>
        <w:t xml:space="preserve">          </w:t>
      </w:r>
      <w:r w:rsidRPr="00BB674B">
        <w:rPr>
          <w:b/>
          <w:sz w:val="22"/>
          <w:szCs w:val="22"/>
          <w:lang w:val="uk-UA"/>
        </w:rPr>
        <w:t>Оцінка результатів реалізації регуляторного акту та ступеня досягнення визначених цілей</w:t>
      </w:r>
      <w:r w:rsidR="00D14902">
        <w:rPr>
          <w:sz w:val="22"/>
          <w:szCs w:val="22"/>
          <w:lang w:val="uk-UA"/>
        </w:rPr>
        <w:t>:</w:t>
      </w:r>
    </w:p>
    <w:p w14:paraId="49CAC383" w14:textId="686EE2F5" w:rsidR="007E314B" w:rsidRDefault="00D14902" w:rsidP="002F5C7F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 xml:space="preserve">Шляхом прийняття даного РА забезпечено єдиний підхід щодо переведення житлових приміщень </w:t>
      </w:r>
      <w:r w:rsidR="007E314B">
        <w:rPr>
          <w:sz w:val="22"/>
          <w:szCs w:val="22"/>
          <w:lang w:val="uk-UA"/>
        </w:rPr>
        <w:t xml:space="preserve">(житлових будинків) у нежилі для подальшого використання цього будинку </w:t>
      </w:r>
      <w:r w:rsidR="004B2D35">
        <w:rPr>
          <w:sz w:val="22"/>
          <w:szCs w:val="22"/>
          <w:lang w:val="uk-UA"/>
        </w:rPr>
        <w:t>(приміщення) в інших цілях, не заборонених діючим законодавством; забезпечено відкритість процедури, прозорість дій органу місцевого самоврядування при переведенні житлових приміщень (житлових приміщень) у нежилі.</w:t>
      </w:r>
    </w:p>
    <w:p w14:paraId="114D97EA" w14:textId="77777777" w:rsidR="00724E17" w:rsidRDefault="004B2D35" w:rsidP="002F5C7F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У зв’язку з отриманням власниками квартир, які планується перевезти із жилих в нежилі</w:t>
      </w:r>
      <w:r w:rsidR="00A52EFB">
        <w:rPr>
          <w:sz w:val="22"/>
          <w:szCs w:val="22"/>
          <w:lang w:val="uk-UA"/>
        </w:rPr>
        <w:t xml:space="preserve"> </w:t>
      </w:r>
      <w:r w:rsidR="00F06B70">
        <w:rPr>
          <w:sz w:val="22"/>
          <w:szCs w:val="22"/>
          <w:lang w:val="uk-UA"/>
        </w:rPr>
        <w:t>приміщення</w:t>
      </w:r>
      <w:r w:rsidR="00724E17">
        <w:rPr>
          <w:sz w:val="22"/>
          <w:szCs w:val="22"/>
          <w:lang w:val="uk-UA"/>
        </w:rPr>
        <w:t xml:space="preserve">, згоди власників прилеглих до них квартир, конфліктних ситуацій  між мешканцями будинку, протягом дії РА не було. </w:t>
      </w:r>
    </w:p>
    <w:p w14:paraId="480F94E6" w14:textId="77777777" w:rsidR="00E47005" w:rsidRDefault="00724E17" w:rsidP="002F5C7F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 xml:space="preserve">Всього за період дії РА: загальна кількість звернень від власників житлових будинків </w:t>
      </w:r>
      <w:r w:rsidR="004B2D35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(житлових приміщень) – юридичних та фізичним осіб щодо переведення жилих будинків (жилих приміщень) приватної, державної та комун</w:t>
      </w:r>
      <w:r w:rsidR="0036605F">
        <w:rPr>
          <w:sz w:val="22"/>
          <w:szCs w:val="22"/>
          <w:lang w:val="uk-UA"/>
        </w:rPr>
        <w:t xml:space="preserve">альної власності у нежилі для подальшого використання цього будинку </w:t>
      </w:r>
      <w:r w:rsidR="00E47005">
        <w:rPr>
          <w:sz w:val="22"/>
          <w:szCs w:val="22"/>
          <w:lang w:val="uk-UA"/>
        </w:rPr>
        <w:t xml:space="preserve">(приміщення) в інших цілях – 21, кількість прийнятих рішень – 21. </w:t>
      </w:r>
    </w:p>
    <w:p w14:paraId="0823FDD8" w14:textId="37596403" w:rsidR="00F86D0B" w:rsidRDefault="00E47005" w:rsidP="002F5C7F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П</w:t>
      </w:r>
      <w:r w:rsidR="003520CC">
        <w:rPr>
          <w:sz w:val="22"/>
          <w:szCs w:val="22"/>
          <w:lang w:val="uk-UA"/>
        </w:rPr>
        <w:t xml:space="preserve">ротягом дії РА на законодавчому рівні було внесено низку  змін, </w:t>
      </w:r>
      <w:r w:rsidR="009B0A81">
        <w:rPr>
          <w:sz w:val="22"/>
          <w:szCs w:val="22"/>
          <w:lang w:val="uk-UA"/>
        </w:rPr>
        <w:t>в</w:t>
      </w:r>
      <w:r w:rsidR="003520CC">
        <w:rPr>
          <w:sz w:val="22"/>
          <w:szCs w:val="22"/>
          <w:lang w:val="uk-UA"/>
        </w:rPr>
        <w:t xml:space="preserve"> тому числі відповідно                                       </w:t>
      </w:r>
      <w:r>
        <w:rPr>
          <w:sz w:val="22"/>
          <w:szCs w:val="22"/>
          <w:lang w:val="uk-UA"/>
        </w:rPr>
        <w:t xml:space="preserve">до статті 4 Закону України «Про дозвільну систему у сфері господарської діяльності» </w:t>
      </w:r>
      <w:r w:rsidR="00F86D0B">
        <w:rPr>
          <w:sz w:val="22"/>
          <w:szCs w:val="22"/>
          <w:lang w:val="uk-UA"/>
        </w:rPr>
        <w:t xml:space="preserve">(далі – Закон) </w:t>
      </w:r>
      <w:r>
        <w:rPr>
          <w:sz w:val="22"/>
          <w:szCs w:val="22"/>
          <w:lang w:val="uk-UA"/>
        </w:rPr>
        <w:t>необхідність одержання документів дозвільного характеру, пере</w:t>
      </w:r>
      <w:r w:rsidR="001E4A4E">
        <w:rPr>
          <w:sz w:val="22"/>
          <w:szCs w:val="22"/>
          <w:lang w:val="uk-UA"/>
        </w:rPr>
        <w:t>лік документів дозвільного характеру, а також вимоги до документів, які суб’єкту господарювання необхідно подати для одержання документа дозвільного характеру встановлюється виключно законом.</w:t>
      </w:r>
      <w:r>
        <w:rPr>
          <w:sz w:val="22"/>
          <w:szCs w:val="22"/>
          <w:lang w:val="uk-UA"/>
        </w:rPr>
        <w:t xml:space="preserve"> </w:t>
      </w:r>
    </w:p>
    <w:p w14:paraId="298AAED6" w14:textId="3EDF0C9B" w:rsidR="00F86D0B" w:rsidRDefault="00F86D0B" w:rsidP="002F5C7F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 xml:space="preserve">Враховуючи вищенаведене, відповідно до вимог статті 4 Закону, а також щодо обґрунтованої необхідністю державного регулювання господарських відносин </w:t>
      </w:r>
      <w:r w:rsidR="00E969B2">
        <w:rPr>
          <w:sz w:val="22"/>
          <w:szCs w:val="22"/>
          <w:lang w:val="uk-UA"/>
        </w:rPr>
        <w:t>з метою вирішення існуючої проблеми, та щодо принципу адекватності – відповідності форм та рівня державного регулювання господарських відносини потреб</w:t>
      </w:r>
      <w:r w:rsidR="00FF2B33">
        <w:rPr>
          <w:sz w:val="22"/>
          <w:szCs w:val="22"/>
          <w:lang w:val="uk-UA"/>
        </w:rPr>
        <w:t>и</w:t>
      </w:r>
      <w:r w:rsidR="00E969B2">
        <w:rPr>
          <w:sz w:val="22"/>
          <w:szCs w:val="22"/>
          <w:lang w:val="uk-UA"/>
        </w:rPr>
        <w:t xml:space="preserve"> у вирішенні існуючої проблеми та ринковим вимогам з урахуванням усіх прийнятих альтернатив, даний регуляторний акт визнаний таким, що підлягає скасуванню</w:t>
      </w:r>
      <w:r w:rsidR="0016233E">
        <w:rPr>
          <w:sz w:val="22"/>
          <w:szCs w:val="22"/>
          <w:lang w:val="uk-UA"/>
        </w:rPr>
        <w:t>.</w:t>
      </w:r>
    </w:p>
    <w:p w14:paraId="679DF466" w14:textId="77777777" w:rsidR="007E314B" w:rsidRDefault="007E314B" w:rsidP="002F5C7F">
      <w:pPr>
        <w:jc w:val="both"/>
        <w:rPr>
          <w:sz w:val="22"/>
          <w:szCs w:val="22"/>
          <w:lang w:val="uk-UA"/>
        </w:rPr>
      </w:pPr>
    </w:p>
    <w:p w14:paraId="2759B3D3" w14:textId="77777777" w:rsidR="007E314B" w:rsidRDefault="007E314B" w:rsidP="002F5C7F">
      <w:pPr>
        <w:jc w:val="both"/>
        <w:rPr>
          <w:sz w:val="22"/>
          <w:szCs w:val="22"/>
          <w:lang w:val="uk-UA"/>
        </w:rPr>
      </w:pPr>
    </w:p>
    <w:p w14:paraId="3A8191F0" w14:textId="77777777" w:rsidR="007E314B" w:rsidRDefault="007E314B" w:rsidP="002F5C7F">
      <w:pPr>
        <w:jc w:val="both"/>
        <w:rPr>
          <w:sz w:val="22"/>
          <w:szCs w:val="22"/>
          <w:lang w:val="uk-UA"/>
        </w:rPr>
      </w:pPr>
    </w:p>
    <w:p w14:paraId="7E280BC9" w14:textId="77777777" w:rsidR="007E314B" w:rsidRDefault="007E314B" w:rsidP="002F5C7F">
      <w:pPr>
        <w:jc w:val="both"/>
        <w:rPr>
          <w:sz w:val="22"/>
          <w:szCs w:val="22"/>
          <w:lang w:val="uk-UA"/>
        </w:rPr>
      </w:pPr>
    </w:p>
    <w:p w14:paraId="321A4BC4" w14:textId="77777777" w:rsidR="007E314B" w:rsidRDefault="007E314B" w:rsidP="002F5C7F">
      <w:pPr>
        <w:jc w:val="both"/>
        <w:rPr>
          <w:sz w:val="22"/>
          <w:szCs w:val="22"/>
          <w:lang w:val="uk-UA"/>
        </w:rPr>
      </w:pPr>
    </w:p>
    <w:p w14:paraId="72523601" w14:textId="77777777" w:rsidR="007E314B" w:rsidRDefault="007E314B" w:rsidP="002F5C7F">
      <w:pPr>
        <w:jc w:val="both"/>
        <w:rPr>
          <w:sz w:val="22"/>
          <w:szCs w:val="22"/>
          <w:lang w:val="uk-UA"/>
        </w:rPr>
      </w:pPr>
    </w:p>
    <w:p w14:paraId="1CAAD1E2" w14:textId="77777777" w:rsidR="007E314B" w:rsidRDefault="007E314B" w:rsidP="002F5C7F">
      <w:pPr>
        <w:jc w:val="both"/>
        <w:rPr>
          <w:sz w:val="22"/>
          <w:szCs w:val="22"/>
          <w:lang w:val="uk-UA"/>
        </w:rPr>
      </w:pPr>
    </w:p>
    <w:p w14:paraId="72BF5CC5" w14:textId="77777777" w:rsidR="007E314B" w:rsidRDefault="007E314B" w:rsidP="002F5C7F">
      <w:pPr>
        <w:jc w:val="both"/>
        <w:rPr>
          <w:sz w:val="22"/>
          <w:szCs w:val="22"/>
          <w:lang w:val="uk-UA"/>
        </w:rPr>
      </w:pPr>
    </w:p>
    <w:p w14:paraId="75B0A74A" w14:textId="60428399" w:rsidR="002F5C7F" w:rsidRDefault="00D14902" w:rsidP="002F5C7F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14:paraId="150EAB16" w14:textId="33FB2E35" w:rsidR="002F5C7F" w:rsidRPr="00BB674B" w:rsidRDefault="002F5C7F" w:rsidP="002F5C7F">
      <w:pPr>
        <w:jc w:val="both"/>
        <w:rPr>
          <w:sz w:val="22"/>
          <w:szCs w:val="22"/>
          <w:lang w:val="uk-UA"/>
        </w:rPr>
      </w:pPr>
      <w:r w:rsidRPr="00BB674B">
        <w:rPr>
          <w:sz w:val="22"/>
          <w:szCs w:val="22"/>
          <w:lang w:val="uk-UA"/>
        </w:rPr>
        <w:t xml:space="preserve">Міський голова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В</w:t>
      </w:r>
      <w:r w:rsidR="00E206D4">
        <w:rPr>
          <w:sz w:val="22"/>
          <w:szCs w:val="22"/>
          <w:lang w:val="uk-UA"/>
        </w:rPr>
        <w:t xml:space="preserve">олодимир </w:t>
      </w:r>
      <w:r>
        <w:rPr>
          <w:sz w:val="22"/>
          <w:szCs w:val="22"/>
          <w:lang w:val="uk-UA"/>
        </w:rPr>
        <w:t>ГРИГОРЕНКО</w:t>
      </w:r>
    </w:p>
    <w:p w14:paraId="34BC5C2D" w14:textId="77777777" w:rsidR="00D84DC4" w:rsidRDefault="00D84DC4" w:rsidP="00D84DC4">
      <w:pPr>
        <w:jc w:val="both"/>
        <w:rPr>
          <w:b/>
          <w:sz w:val="22"/>
          <w:szCs w:val="22"/>
          <w:lang w:val="uk-UA"/>
        </w:rPr>
      </w:pPr>
    </w:p>
    <w:p w14:paraId="758417C1" w14:textId="77777777" w:rsidR="002F5C7F" w:rsidRDefault="002F5C7F" w:rsidP="00D84DC4">
      <w:pPr>
        <w:jc w:val="both"/>
        <w:rPr>
          <w:b/>
          <w:sz w:val="22"/>
          <w:szCs w:val="22"/>
          <w:lang w:val="uk-UA"/>
        </w:rPr>
      </w:pPr>
    </w:p>
    <w:p w14:paraId="22523F87" w14:textId="77777777" w:rsidR="002F5C7F" w:rsidRDefault="002F5C7F" w:rsidP="00D84DC4">
      <w:pPr>
        <w:jc w:val="both"/>
        <w:rPr>
          <w:b/>
          <w:sz w:val="22"/>
          <w:szCs w:val="22"/>
          <w:lang w:val="uk-UA"/>
        </w:rPr>
      </w:pPr>
    </w:p>
    <w:p w14:paraId="473E699F" w14:textId="710D2F22" w:rsidR="002F5C7F" w:rsidRPr="00E206D4" w:rsidRDefault="00CF6D29" w:rsidP="002F5C7F">
      <w:pPr>
        <w:jc w:val="both"/>
        <w:rPr>
          <w:iCs/>
          <w:sz w:val="18"/>
          <w:szCs w:val="18"/>
          <w:lang w:val="uk-UA"/>
        </w:rPr>
      </w:pPr>
      <w:r w:rsidRPr="00E206D4">
        <w:rPr>
          <w:iCs/>
          <w:sz w:val="18"/>
          <w:szCs w:val="18"/>
          <w:lang w:val="uk-UA"/>
        </w:rPr>
        <w:t>Ганна Філоненко</w:t>
      </w:r>
      <w:r w:rsidR="002F5C7F" w:rsidRPr="00E206D4">
        <w:rPr>
          <w:iCs/>
          <w:sz w:val="18"/>
          <w:szCs w:val="18"/>
          <w:lang w:val="uk-UA"/>
        </w:rPr>
        <w:t>,  (06267)44398</w:t>
      </w:r>
    </w:p>
    <w:p w14:paraId="48FED7AB" w14:textId="4D9E4E6A" w:rsidR="00BC16D4" w:rsidRDefault="00BC16D4" w:rsidP="002F5C7F">
      <w:pPr>
        <w:jc w:val="both"/>
        <w:rPr>
          <w:iCs/>
          <w:sz w:val="18"/>
          <w:szCs w:val="18"/>
          <w:lang w:val="uk-UA"/>
        </w:rPr>
      </w:pPr>
      <w:r w:rsidRPr="00E206D4">
        <w:rPr>
          <w:iCs/>
          <w:sz w:val="18"/>
          <w:szCs w:val="18"/>
          <w:lang w:val="uk-UA"/>
        </w:rPr>
        <w:t>Марина Коротун</w:t>
      </w:r>
    </w:p>
    <w:p w14:paraId="4D331B30" w14:textId="256C38B2" w:rsidR="00E206D4" w:rsidRDefault="00E206D4" w:rsidP="002F5C7F">
      <w:pPr>
        <w:jc w:val="both"/>
        <w:rPr>
          <w:iCs/>
          <w:sz w:val="18"/>
          <w:szCs w:val="18"/>
          <w:lang w:val="uk-UA"/>
        </w:rPr>
      </w:pPr>
      <w:r>
        <w:rPr>
          <w:iCs/>
          <w:sz w:val="18"/>
          <w:szCs w:val="18"/>
          <w:lang w:val="uk-UA"/>
        </w:rPr>
        <w:t>Ірина Сівоплясова</w:t>
      </w:r>
    </w:p>
    <w:p w14:paraId="43C7DCDB" w14:textId="709868FC" w:rsidR="00E206D4" w:rsidRPr="00E206D4" w:rsidRDefault="00E206D4" w:rsidP="002F5C7F">
      <w:pPr>
        <w:jc w:val="both"/>
        <w:rPr>
          <w:iCs/>
          <w:sz w:val="18"/>
          <w:szCs w:val="18"/>
          <w:lang w:val="uk-UA"/>
        </w:rPr>
      </w:pPr>
      <w:r>
        <w:rPr>
          <w:iCs/>
          <w:sz w:val="18"/>
          <w:szCs w:val="18"/>
          <w:lang w:val="uk-UA"/>
        </w:rPr>
        <w:t>Олексій Ковальов</w:t>
      </w:r>
    </w:p>
    <w:p w14:paraId="76AE8BDA" w14:textId="11EF26BD" w:rsidR="00BC16D4" w:rsidRPr="00E206D4" w:rsidRDefault="00BC16D4" w:rsidP="002F5C7F">
      <w:pPr>
        <w:jc w:val="both"/>
        <w:rPr>
          <w:iCs/>
          <w:sz w:val="18"/>
          <w:szCs w:val="18"/>
          <w:lang w:val="uk-UA"/>
        </w:rPr>
      </w:pPr>
      <w:r w:rsidRPr="00E206D4">
        <w:rPr>
          <w:iCs/>
          <w:sz w:val="18"/>
          <w:szCs w:val="18"/>
          <w:lang w:val="uk-UA"/>
        </w:rPr>
        <w:t>Олег Поляков</w:t>
      </w:r>
    </w:p>
    <w:p w14:paraId="66C7108F" w14:textId="77777777" w:rsidR="002F5C7F" w:rsidRDefault="002F5C7F" w:rsidP="00D84DC4">
      <w:pPr>
        <w:jc w:val="both"/>
        <w:rPr>
          <w:b/>
          <w:sz w:val="22"/>
          <w:szCs w:val="22"/>
          <w:lang w:val="uk-UA"/>
        </w:rPr>
      </w:pPr>
    </w:p>
    <w:p w14:paraId="2BE1B165" w14:textId="77777777" w:rsidR="00C65FCE" w:rsidRDefault="00C65FCE" w:rsidP="00D84DC4">
      <w:pPr>
        <w:jc w:val="both"/>
        <w:rPr>
          <w:b/>
          <w:sz w:val="22"/>
          <w:szCs w:val="22"/>
          <w:lang w:val="uk-UA"/>
        </w:rPr>
      </w:pPr>
    </w:p>
    <w:p w14:paraId="3A72E7AC" w14:textId="77777777" w:rsidR="00C65FCE" w:rsidRDefault="00C65FCE" w:rsidP="00D84DC4">
      <w:pPr>
        <w:jc w:val="both"/>
        <w:rPr>
          <w:b/>
          <w:sz w:val="22"/>
          <w:szCs w:val="22"/>
          <w:lang w:val="uk-UA"/>
        </w:rPr>
      </w:pPr>
    </w:p>
    <w:p w14:paraId="51BA568A" w14:textId="311D879C" w:rsidR="00D84DC4" w:rsidRPr="00BB674B" w:rsidRDefault="00D84DC4" w:rsidP="00D84DC4">
      <w:pPr>
        <w:jc w:val="both"/>
        <w:rPr>
          <w:b/>
          <w:sz w:val="22"/>
          <w:szCs w:val="22"/>
          <w:lang w:val="uk-UA"/>
        </w:rPr>
      </w:pPr>
    </w:p>
    <w:p w14:paraId="482EC41E" w14:textId="77777777" w:rsidR="00894837" w:rsidRPr="00656B89" w:rsidRDefault="00894837" w:rsidP="003A4142">
      <w:pPr>
        <w:jc w:val="both"/>
        <w:rPr>
          <w:i/>
          <w:sz w:val="18"/>
          <w:szCs w:val="18"/>
          <w:lang w:val="uk-UA"/>
        </w:rPr>
      </w:pPr>
    </w:p>
    <w:p w14:paraId="279EF5D7" w14:textId="77777777" w:rsidR="008720ED" w:rsidRPr="00656B89" w:rsidRDefault="008720ED">
      <w:pPr>
        <w:rPr>
          <w:lang w:val="uk-UA"/>
        </w:rPr>
      </w:pPr>
    </w:p>
    <w:sectPr w:rsidR="008720ED" w:rsidRPr="00656B89" w:rsidSect="00D84D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714F1"/>
    <w:multiLevelType w:val="hybridMultilevel"/>
    <w:tmpl w:val="927C2ACC"/>
    <w:lvl w:ilvl="0" w:tplc="63DC4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557BD"/>
    <w:multiLevelType w:val="hybridMultilevel"/>
    <w:tmpl w:val="3D7E91A2"/>
    <w:lvl w:ilvl="0" w:tplc="8304BE4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D1E36B0"/>
    <w:multiLevelType w:val="hybridMultilevel"/>
    <w:tmpl w:val="B324DF3E"/>
    <w:lvl w:ilvl="0" w:tplc="D8A4CD5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42"/>
    <w:rsid w:val="00023CB5"/>
    <w:rsid w:val="000339B0"/>
    <w:rsid w:val="000839A9"/>
    <w:rsid w:val="000C5EFB"/>
    <w:rsid w:val="000E26BF"/>
    <w:rsid w:val="00111DED"/>
    <w:rsid w:val="00131BCE"/>
    <w:rsid w:val="00136451"/>
    <w:rsid w:val="00154BE1"/>
    <w:rsid w:val="0015658D"/>
    <w:rsid w:val="0016233E"/>
    <w:rsid w:val="00183585"/>
    <w:rsid w:val="001866BA"/>
    <w:rsid w:val="001E4A4E"/>
    <w:rsid w:val="001F224C"/>
    <w:rsid w:val="0020508E"/>
    <w:rsid w:val="00212499"/>
    <w:rsid w:val="00221A1E"/>
    <w:rsid w:val="00263273"/>
    <w:rsid w:val="00281ECA"/>
    <w:rsid w:val="002B181C"/>
    <w:rsid w:val="002F5C7F"/>
    <w:rsid w:val="00310F3E"/>
    <w:rsid w:val="003520CC"/>
    <w:rsid w:val="0036605F"/>
    <w:rsid w:val="00381858"/>
    <w:rsid w:val="00391A73"/>
    <w:rsid w:val="00392625"/>
    <w:rsid w:val="003A4142"/>
    <w:rsid w:val="003E507D"/>
    <w:rsid w:val="00456F79"/>
    <w:rsid w:val="004727F0"/>
    <w:rsid w:val="00475390"/>
    <w:rsid w:val="004A4322"/>
    <w:rsid w:val="004B2D35"/>
    <w:rsid w:val="00537431"/>
    <w:rsid w:val="00547D57"/>
    <w:rsid w:val="00564DE4"/>
    <w:rsid w:val="005D6717"/>
    <w:rsid w:val="0062075F"/>
    <w:rsid w:val="00656B89"/>
    <w:rsid w:val="006B20FF"/>
    <w:rsid w:val="0071264D"/>
    <w:rsid w:val="00713FEE"/>
    <w:rsid w:val="00724E17"/>
    <w:rsid w:val="007568B7"/>
    <w:rsid w:val="007B244A"/>
    <w:rsid w:val="007E314B"/>
    <w:rsid w:val="00820AA6"/>
    <w:rsid w:val="008334AD"/>
    <w:rsid w:val="00837AF4"/>
    <w:rsid w:val="008459B2"/>
    <w:rsid w:val="00847E5C"/>
    <w:rsid w:val="008720ED"/>
    <w:rsid w:val="00894837"/>
    <w:rsid w:val="008F39BD"/>
    <w:rsid w:val="00902BF8"/>
    <w:rsid w:val="009A6483"/>
    <w:rsid w:val="009B0A81"/>
    <w:rsid w:val="00A16E90"/>
    <w:rsid w:val="00A52EFB"/>
    <w:rsid w:val="00A6615C"/>
    <w:rsid w:val="00AA40E1"/>
    <w:rsid w:val="00B14D0B"/>
    <w:rsid w:val="00B3772B"/>
    <w:rsid w:val="00B44EC8"/>
    <w:rsid w:val="00B456B9"/>
    <w:rsid w:val="00BC16D4"/>
    <w:rsid w:val="00BE65CB"/>
    <w:rsid w:val="00C307FD"/>
    <w:rsid w:val="00C4121C"/>
    <w:rsid w:val="00C65FCE"/>
    <w:rsid w:val="00CC7235"/>
    <w:rsid w:val="00CD7CB6"/>
    <w:rsid w:val="00CF6D29"/>
    <w:rsid w:val="00D14902"/>
    <w:rsid w:val="00D2645E"/>
    <w:rsid w:val="00D84DC4"/>
    <w:rsid w:val="00E150CE"/>
    <w:rsid w:val="00E206D4"/>
    <w:rsid w:val="00E31E30"/>
    <w:rsid w:val="00E47005"/>
    <w:rsid w:val="00E81C36"/>
    <w:rsid w:val="00E969B2"/>
    <w:rsid w:val="00EE1A7F"/>
    <w:rsid w:val="00EE6297"/>
    <w:rsid w:val="00F06B70"/>
    <w:rsid w:val="00F20B93"/>
    <w:rsid w:val="00F2124D"/>
    <w:rsid w:val="00F47463"/>
    <w:rsid w:val="00F86D0B"/>
    <w:rsid w:val="00FD133A"/>
    <w:rsid w:val="00FE0455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6DC1"/>
  <w15:chartTrackingRefBased/>
  <w15:docId w15:val="{6B5C81AE-1175-4C87-982A-E41A1397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41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133A"/>
    <w:pPr>
      <w:ind w:left="720"/>
      <w:contextualSpacing/>
    </w:pPr>
  </w:style>
  <w:style w:type="character" w:customStyle="1" w:styleId="2">
    <w:name w:val="Основной текст (2)_"/>
    <w:link w:val="21"/>
    <w:rsid w:val="00F20B9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20B93"/>
    <w:pPr>
      <w:widowControl w:val="0"/>
      <w:shd w:val="clear" w:color="auto" w:fill="FFFFFF"/>
      <w:spacing w:before="48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263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456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uisp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3A34C-90F6-487E-BA11-E9BDB3BB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ispolkom_2</dc:creator>
  <cp:keywords/>
  <dc:description/>
  <cp:lastModifiedBy>ispolkom_2</cp:lastModifiedBy>
  <cp:revision>35</cp:revision>
  <cp:lastPrinted>2021-11-01T11:51:00Z</cp:lastPrinted>
  <dcterms:created xsi:type="dcterms:W3CDTF">2021-07-02T06:52:00Z</dcterms:created>
  <dcterms:modified xsi:type="dcterms:W3CDTF">2021-11-01T13:09:00Z</dcterms:modified>
</cp:coreProperties>
</file>